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1B5D" w14:textId="77777777" w:rsidR="00C677E0" w:rsidRPr="00BD1D1C" w:rsidRDefault="00C677E0">
      <w:pPr>
        <w:rPr>
          <w:lang w:val="en-US"/>
        </w:rPr>
      </w:pPr>
    </w:p>
    <w:p w14:paraId="4C2199BF" w14:textId="77777777" w:rsidR="00EB3CBB" w:rsidRPr="00BD1D1C" w:rsidRDefault="005F5711" w:rsidP="00EB3CBB">
      <w:pPr>
        <w:pStyle w:val="BBHeading1"/>
        <w:numPr>
          <w:ilvl w:val="0"/>
          <w:numId w:val="0"/>
        </w:numPr>
        <w:jc w:val="center"/>
        <w:rPr>
          <w:caps w:val="0"/>
          <w:sz w:val="28"/>
          <w:lang w:val="en-US"/>
        </w:rPr>
      </w:pPr>
      <w:bookmarkStart w:id="0" w:name="_Toc523502327"/>
      <w:bookmarkStart w:id="1" w:name="_Toc523420021"/>
      <w:r w:rsidRPr="00BD1D1C">
        <w:rPr>
          <w:caps w:val="0"/>
          <w:sz w:val="28"/>
          <w:lang w:val="en-US"/>
        </w:rPr>
        <w:t>Controller Data Processing Addendum</w:t>
      </w:r>
      <w:bookmarkEnd w:id="0"/>
      <w:bookmarkEnd w:id="1"/>
      <w:r w:rsidR="00EB3CBB" w:rsidRPr="00BD1D1C">
        <w:rPr>
          <w:caps w:val="0"/>
          <w:sz w:val="28"/>
          <w:lang w:val="en-US"/>
        </w:rPr>
        <w:br/>
        <w:t>[</w:t>
      </w:r>
      <w:r w:rsidR="00EB3CBB" w:rsidRPr="00BD1D1C">
        <w:rPr>
          <w:caps w:val="0"/>
          <w:sz w:val="28"/>
          <w:highlight w:val="yellow"/>
          <w:lang w:val="en-US"/>
        </w:rPr>
        <w:t>PPG Client]</w:t>
      </w:r>
    </w:p>
    <w:p w14:paraId="401421DB" w14:textId="77777777" w:rsidR="005F5711" w:rsidRPr="00BD1D1C" w:rsidRDefault="005F5711" w:rsidP="005F5711">
      <w:pPr>
        <w:pStyle w:val="BBBodyTextIndent1"/>
        <w:ind w:left="0"/>
        <w:rPr>
          <w:lang w:val="en-US"/>
        </w:rPr>
      </w:pPr>
      <w:r w:rsidRPr="00BD1D1C">
        <w:rPr>
          <w:lang w:val="en-US"/>
        </w:rPr>
        <w:t>This Data Processing Addendum ("</w:t>
      </w:r>
      <w:r w:rsidRPr="00BD1D1C">
        <w:rPr>
          <w:b/>
          <w:lang w:val="en-US"/>
        </w:rPr>
        <w:t>Addendum</w:t>
      </w:r>
      <w:r w:rsidRPr="00BD1D1C">
        <w:rPr>
          <w:lang w:val="en-US"/>
        </w:rPr>
        <w:t>") is entered into as of [</w:t>
      </w:r>
      <w:r w:rsidRPr="00BD1D1C">
        <w:rPr>
          <w:i/>
          <w:highlight w:val="yellow"/>
          <w:lang w:val="en-US"/>
        </w:rPr>
        <w:t>insert date</w:t>
      </w:r>
      <w:r w:rsidRPr="00BD1D1C">
        <w:rPr>
          <w:lang w:val="en-US"/>
        </w:rPr>
        <w:t>] (“</w:t>
      </w:r>
      <w:r w:rsidRPr="00BD1D1C">
        <w:rPr>
          <w:b/>
          <w:lang w:val="en-US"/>
        </w:rPr>
        <w:t>Addendum Effective Date</w:t>
      </w:r>
      <w:r w:rsidRPr="00BD1D1C">
        <w:rPr>
          <w:lang w:val="en-US"/>
        </w:rPr>
        <w:t>”) and specifies the global data protection obligations of [</w:t>
      </w:r>
      <w:r w:rsidRPr="00BD1D1C">
        <w:rPr>
          <w:i/>
          <w:highlight w:val="yellow"/>
          <w:lang w:val="en-US"/>
        </w:rPr>
        <w:t>insert complete corporate name of Contracting Party</w:t>
      </w:r>
      <w:r w:rsidRPr="00BD1D1C">
        <w:rPr>
          <w:lang w:val="en-US"/>
        </w:rPr>
        <w:t>] ("</w:t>
      </w:r>
      <w:r w:rsidR="00B32E93" w:rsidRPr="00BD1D1C">
        <w:rPr>
          <w:b/>
          <w:lang w:val="en-US"/>
        </w:rPr>
        <w:t>Supplier</w:t>
      </w:r>
      <w:r w:rsidRPr="00BD1D1C">
        <w:rPr>
          <w:lang w:val="en-US"/>
        </w:rPr>
        <w:t>") under the [</w:t>
      </w:r>
      <w:r w:rsidRPr="00BD1D1C">
        <w:rPr>
          <w:i/>
          <w:highlight w:val="yellow"/>
          <w:lang w:val="en-US"/>
        </w:rPr>
        <w:t>insert full name of Agreement</w:t>
      </w:r>
      <w:r w:rsidRPr="00BD1D1C">
        <w:rPr>
          <w:lang w:val="en-US"/>
        </w:rPr>
        <w:t>] Agreement, dated [</w:t>
      </w:r>
      <w:r w:rsidRPr="00BD1D1C">
        <w:rPr>
          <w:i/>
          <w:highlight w:val="yellow"/>
          <w:lang w:val="en-US"/>
        </w:rPr>
        <w:t>insert date of Agreement</w:t>
      </w:r>
      <w:r w:rsidRPr="00BD1D1C">
        <w:rPr>
          <w:lang w:val="en-US"/>
        </w:rPr>
        <w:t>] between [</w:t>
      </w:r>
      <w:r w:rsidRPr="00BD1D1C">
        <w:rPr>
          <w:i/>
          <w:highlight w:val="yellow"/>
          <w:lang w:val="en-US"/>
        </w:rPr>
        <w:t>insert PPG entity</w:t>
      </w:r>
      <w:r w:rsidRPr="00BD1D1C">
        <w:rPr>
          <w:lang w:val="en-US"/>
        </w:rPr>
        <w:t>] ("</w:t>
      </w:r>
      <w:r w:rsidRPr="00BD1D1C">
        <w:rPr>
          <w:b/>
          <w:lang w:val="en-US"/>
        </w:rPr>
        <w:t>PPG</w:t>
      </w:r>
      <w:r w:rsidRPr="00BD1D1C">
        <w:rPr>
          <w:lang w:val="en-US"/>
        </w:rPr>
        <w:t xml:space="preserve">") and </w:t>
      </w:r>
      <w:r w:rsidR="008747B6" w:rsidRPr="00BD1D1C">
        <w:rPr>
          <w:lang w:val="en-US"/>
        </w:rPr>
        <w:t>Supplier</w:t>
      </w:r>
      <w:r w:rsidRPr="00BD1D1C">
        <w:rPr>
          <w:lang w:val="en-US"/>
        </w:rPr>
        <w:t xml:space="preserve"> (as amended from time to time, the "</w:t>
      </w:r>
      <w:r w:rsidRPr="00BD1D1C">
        <w:rPr>
          <w:b/>
          <w:lang w:val="en-US"/>
        </w:rPr>
        <w:t>Agreement</w:t>
      </w:r>
      <w:r w:rsidRPr="00BD1D1C">
        <w:rPr>
          <w:lang w:val="en-US"/>
        </w:rPr>
        <w:t>").</w:t>
      </w:r>
    </w:p>
    <w:p w14:paraId="5F63B6DB" w14:textId="77777777" w:rsidR="005F5711" w:rsidRPr="00BD1D1C" w:rsidRDefault="005F5711" w:rsidP="005F5711">
      <w:pPr>
        <w:pStyle w:val="BBBodyTextIndent1"/>
        <w:ind w:left="0"/>
        <w:rPr>
          <w:lang w:val="en-US"/>
        </w:rPr>
      </w:pPr>
      <w:r w:rsidRPr="00BD1D1C">
        <w:rPr>
          <w:lang w:val="en-US"/>
        </w:rPr>
        <w:t xml:space="preserve">This Addendum applies to the processing of personal data carried out by PPG and Supplier in connection with </w:t>
      </w:r>
      <w:r w:rsidR="008747B6" w:rsidRPr="00BD1D1C">
        <w:rPr>
          <w:lang w:val="en-US"/>
        </w:rPr>
        <w:t>Suppl</w:t>
      </w:r>
      <w:r w:rsidR="00A164DF" w:rsidRPr="00BD1D1C">
        <w:rPr>
          <w:lang w:val="en-US"/>
        </w:rPr>
        <w:t>ier</w:t>
      </w:r>
      <w:r w:rsidRPr="00BD1D1C">
        <w:rPr>
          <w:lang w:val="en-US"/>
        </w:rPr>
        <w:t>’s services (the "</w:t>
      </w:r>
      <w:r w:rsidRPr="00BD1D1C">
        <w:rPr>
          <w:b/>
          <w:lang w:val="en-US"/>
        </w:rPr>
        <w:t>Services</w:t>
      </w:r>
      <w:r w:rsidRPr="00BD1D1C">
        <w:rPr>
          <w:lang w:val="en-US"/>
        </w:rPr>
        <w:t xml:space="preserve">") provided to </w:t>
      </w:r>
      <w:r w:rsidR="00A164DF" w:rsidRPr="00BD1D1C">
        <w:rPr>
          <w:lang w:val="en-US"/>
        </w:rPr>
        <w:t>PPG</w:t>
      </w:r>
      <w:r w:rsidRPr="00BD1D1C">
        <w:rPr>
          <w:lang w:val="en-US"/>
        </w:rPr>
        <w:t xml:space="preserve"> and its Affiliates ("</w:t>
      </w:r>
      <w:r w:rsidR="00BF7CA1" w:rsidRPr="00BD1D1C">
        <w:rPr>
          <w:b/>
          <w:lang w:val="en-US"/>
        </w:rPr>
        <w:t>PPG</w:t>
      </w:r>
      <w:r w:rsidRPr="00BD1D1C">
        <w:rPr>
          <w:b/>
          <w:lang w:val="en-US"/>
        </w:rPr>
        <w:t xml:space="preserve"> Affiliates</w:t>
      </w:r>
      <w:r w:rsidRPr="00BD1D1C">
        <w:rPr>
          <w:lang w:val="en-US"/>
        </w:rPr>
        <w:t xml:space="preserve">") pursuant to the Agreement. </w:t>
      </w:r>
    </w:p>
    <w:p w14:paraId="0F6AE9C5" w14:textId="77777777" w:rsidR="005F5711" w:rsidRPr="00BD1D1C" w:rsidRDefault="005F5711" w:rsidP="005F5711">
      <w:pPr>
        <w:pStyle w:val="BBBodyTextIndent1"/>
        <w:ind w:left="0"/>
        <w:rPr>
          <w:lang w:val="en-US"/>
        </w:rPr>
      </w:pPr>
      <w:r w:rsidRPr="00BD1D1C">
        <w:rPr>
          <w:lang w:val="en-US"/>
        </w:rPr>
        <w:t xml:space="preserve">In the event of any conflict or inconsistency between the provisions of the Agreement and this Addendum, the provisions of this Addendum shall prevail. Save as specifically modified and amended in this Addendum, </w:t>
      </w:r>
      <w:proofErr w:type="gramStart"/>
      <w:r w:rsidRPr="00BD1D1C">
        <w:rPr>
          <w:lang w:val="en-US"/>
        </w:rPr>
        <w:t>all of</w:t>
      </w:r>
      <w:proofErr w:type="gramEnd"/>
      <w:r w:rsidRPr="00BD1D1C">
        <w:rPr>
          <w:lang w:val="en-US"/>
        </w:rPr>
        <w:t xml:space="preserve"> the terms, provisions and requirements contained in the Agreement shall remain in full force and effect and govern these terms.</w:t>
      </w:r>
    </w:p>
    <w:p w14:paraId="1396E7DC" w14:textId="77777777" w:rsidR="005F5711" w:rsidRPr="00BD1D1C" w:rsidRDefault="005F5711" w:rsidP="005F5711">
      <w:pPr>
        <w:pStyle w:val="BBBodyTextIndent1"/>
        <w:ind w:left="0"/>
        <w:rPr>
          <w:b/>
          <w:lang w:val="en-US"/>
        </w:rPr>
      </w:pPr>
      <w:r w:rsidRPr="00BD1D1C">
        <w:rPr>
          <w:b/>
          <w:lang w:val="en-US"/>
        </w:rPr>
        <w:t>THE PARTIES HEREBY MUTUALLY AGREE AS FOLLOWS:</w:t>
      </w:r>
    </w:p>
    <w:p w14:paraId="1F49ACBB" w14:textId="77777777" w:rsidR="005F5711" w:rsidRPr="00BD1D1C" w:rsidRDefault="005F5711" w:rsidP="005F5711">
      <w:pPr>
        <w:pStyle w:val="BBSchedule1"/>
        <w:numPr>
          <w:ilvl w:val="0"/>
          <w:numId w:val="3"/>
        </w:numPr>
        <w:outlineLvl w:val="9"/>
        <w:rPr>
          <w:b/>
          <w:lang w:val="en-US"/>
        </w:rPr>
      </w:pPr>
      <w:bookmarkStart w:id="2" w:name="_Toc523420022"/>
      <w:r w:rsidRPr="00BD1D1C">
        <w:rPr>
          <w:b/>
          <w:lang w:val="en-US"/>
        </w:rPr>
        <w:t>Definitions and Interpretation</w:t>
      </w:r>
      <w:bookmarkEnd w:id="2"/>
    </w:p>
    <w:p w14:paraId="6874322F" w14:textId="77777777" w:rsidR="005F5711" w:rsidRPr="00BD1D1C" w:rsidRDefault="005F5711" w:rsidP="005F5711">
      <w:pPr>
        <w:pStyle w:val="BBSchedule2"/>
        <w:numPr>
          <w:ilvl w:val="1"/>
          <w:numId w:val="3"/>
        </w:numPr>
        <w:rPr>
          <w:lang w:val="en-US"/>
        </w:rPr>
      </w:pPr>
      <w:bookmarkStart w:id="3" w:name="_Ref151110578"/>
      <w:r w:rsidRPr="00BD1D1C">
        <w:rPr>
          <w:lang w:val="en-US"/>
        </w:rPr>
        <w:t>In this Addendum the following words and phrases shall have the following meanings, unless inconsistent with the context or as otherwise specified.:</w:t>
      </w:r>
      <w:bookmarkEnd w:id="3"/>
      <w:r w:rsidRPr="00BD1D1C">
        <w:rPr>
          <w:lang w:val="en-US"/>
        </w:rPr>
        <w:t xml:space="preserve"> </w:t>
      </w:r>
    </w:p>
    <w:p w14:paraId="4CB63460" w14:textId="3659B9B2" w:rsidR="005F5711" w:rsidRPr="004F3361" w:rsidRDefault="005F5711" w:rsidP="005F5711">
      <w:pPr>
        <w:pStyle w:val="BBSchedule2"/>
        <w:numPr>
          <w:ilvl w:val="0"/>
          <w:numId w:val="0"/>
        </w:numPr>
        <w:tabs>
          <w:tab w:val="left" w:pos="708"/>
        </w:tabs>
        <w:spacing w:after="0"/>
        <w:ind w:left="709"/>
        <w:rPr>
          <w:lang w:val="en-US"/>
        </w:rPr>
      </w:pPr>
      <w:r w:rsidRPr="00BD1D1C">
        <w:rPr>
          <w:lang w:val="en-US"/>
        </w:rPr>
        <w:t>"</w:t>
      </w:r>
      <w:r w:rsidRPr="00BD1D1C">
        <w:rPr>
          <w:b/>
          <w:lang w:val="en-US"/>
        </w:rPr>
        <w:t>Data Protection Legislation</w:t>
      </w:r>
      <w:r w:rsidRPr="00BD1D1C">
        <w:rPr>
          <w:lang w:val="en-US"/>
        </w:rPr>
        <w:t xml:space="preserve">" </w:t>
      </w:r>
      <w:r w:rsidR="004F3361" w:rsidRPr="004F3361">
        <w:rPr>
          <w:lang w:val="en-US"/>
        </w:rPr>
        <w:t>all applicable laws relating to data privacy or data security, the processing of personal data, including without limitation (i) the General Data Protection Regulation (EU) 2016/679 (GDPR), (ii) the UK GDPR and Data Protection Act 2018, (iii) state and federal US privacy laws; (iv) China Personal Information Protection Law (PIPL); (v) the Personal Information Protection and Electronic Documents Act 2000 (PIPEDA); (vi) the General Data Protection Law (LGPD); and any legislation and regulation implementing or made pursuant to them, or which amends, replaces, re-enacts or consolidates any of them. References to “Data Processor”, “Data Subjects”, “Personal Data”, “Process”, “Processed”, “Processing”, “Processor” and “Supervisory Authority”, “Sell” or “Sale” have the meanings set out in and will be interpreted in accordance with such applicable laws.</w:t>
      </w:r>
    </w:p>
    <w:p w14:paraId="454CFB8E" w14:textId="77777777" w:rsidR="005F5711" w:rsidRPr="00BD1D1C" w:rsidRDefault="005F5711" w:rsidP="00D75858">
      <w:pPr>
        <w:pStyle w:val="BodyText"/>
        <w:spacing w:after="0"/>
        <w:rPr>
          <w:lang w:val="en-US"/>
        </w:rPr>
      </w:pPr>
    </w:p>
    <w:p w14:paraId="355B463C" w14:textId="096C7E60" w:rsidR="005F5711" w:rsidRPr="00BD1D1C" w:rsidRDefault="005F5711" w:rsidP="005F5711">
      <w:pPr>
        <w:pStyle w:val="BBSchedule2"/>
        <w:numPr>
          <w:ilvl w:val="0"/>
          <w:numId w:val="0"/>
        </w:numPr>
        <w:tabs>
          <w:tab w:val="left" w:pos="708"/>
        </w:tabs>
        <w:spacing w:after="0"/>
        <w:ind w:left="709"/>
        <w:rPr>
          <w:lang w:val="en-US"/>
        </w:rPr>
      </w:pPr>
      <w:r w:rsidRPr="00BD1D1C">
        <w:rPr>
          <w:lang w:val="en-US"/>
        </w:rPr>
        <w:t>"</w:t>
      </w:r>
      <w:r w:rsidRPr="00BD1D1C">
        <w:rPr>
          <w:b/>
          <w:lang w:val="en-US"/>
        </w:rPr>
        <w:t>Individual Data</w:t>
      </w:r>
      <w:r w:rsidRPr="00BD1D1C">
        <w:rPr>
          <w:lang w:val="en-US"/>
        </w:rPr>
        <w:t xml:space="preserve">" means </w:t>
      </w:r>
      <w:proofErr w:type="gramStart"/>
      <w:r w:rsidRPr="00BD1D1C">
        <w:rPr>
          <w:lang w:val="en-US"/>
        </w:rPr>
        <w:t>any and all</w:t>
      </w:r>
      <w:proofErr w:type="gramEnd"/>
      <w:r w:rsidRPr="00BD1D1C">
        <w:rPr>
          <w:lang w:val="en-US"/>
        </w:rPr>
        <w:t xml:space="preserve"> Personal Data</w:t>
      </w:r>
      <w:r w:rsidR="000249F2">
        <w:rPr>
          <w:lang w:val="en-US"/>
        </w:rPr>
        <w:t>, including [</w:t>
      </w:r>
      <w:r w:rsidR="000249F2" w:rsidRPr="000249F2">
        <w:rPr>
          <w:i/>
          <w:iCs/>
          <w:highlight w:val="yellow"/>
          <w:lang w:val="en-US"/>
        </w:rPr>
        <w:t>insert types of personal data</w:t>
      </w:r>
      <w:r w:rsidR="000249F2">
        <w:rPr>
          <w:lang w:val="en-US"/>
        </w:rPr>
        <w:t>]</w:t>
      </w:r>
      <w:r w:rsidRPr="00BD1D1C">
        <w:rPr>
          <w:lang w:val="en-US"/>
        </w:rPr>
        <w:t xml:space="preserve"> relating to the [</w:t>
      </w:r>
      <w:r w:rsidRPr="00BD1D1C">
        <w:rPr>
          <w:i/>
          <w:highlight w:val="yellow"/>
          <w:lang w:val="en-US"/>
        </w:rPr>
        <w:t>insert data subjects</w:t>
      </w:r>
      <w:r w:rsidRPr="00BD1D1C">
        <w:rPr>
          <w:lang w:val="en-US"/>
        </w:rPr>
        <w:t>] as provided by PPG or the Supplier for the purposes of the Services.</w:t>
      </w:r>
    </w:p>
    <w:p w14:paraId="09A248DD" w14:textId="77777777" w:rsidR="005F5711" w:rsidRPr="00BD1D1C" w:rsidRDefault="005F5711" w:rsidP="005F5711">
      <w:pPr>
        <w:pStyle w:val="BBSchedule2"/>
        <w:numPr>
          <w:ilvl w:val="0"/>
          <w:numId w:val="0"/>
        </w:numPr>
        <w:tabs>
          <w:tab w:val="left" w:pos="708"/>
        </w:tabs>
        <w:spacing w:after="0"/>
        <w:ind w:left="709"/>
        <w:rPr>
          <w:rFonts w:asciiTheme="majorHAnsi" w:hAnsiTheme="majorHAnsi"/>
          <w:lang w:val="en-US"/>
        </w:rPr>
      </w:pPr>
    </w:p>
    <w:p w14:paraId="31D1EA54" w14:textId="77777777" w:rsidR="005F5711" w:rsidRPr="00BD1D1C" w:rsidRDefault="005F5711" w:rsidP="005F5711">
      <w:pPr>
        <w:pStyle w:val="BBSchedule2"/>
        <w:numPr>
          <w:ilvl w:val="1"/>
          <w:numId w:val="3"/>
        </w:numPr>
        <w:rPr>
          <w:szCs w:val="20"/>
          <w:lang w:val="en-US"/>
        </w:rPr>
      </w:pPr>
      <w:r w:rsidRPr="00BD1D1C">
        <w:rPr>
          <w:lang w:val="en-US"/>
        </w:rPr>
        <w:t>Clause and paragraph headings shall not affect the interpretation of this Addendum.</w:t>
      </w:r>
    </w:p>
    <w:p w14:paraId="5D175A27" w14:textId="77777777" w:rsidR="005F5711" w:rsidRPr="00BD1D1C" w:rsidRDefault="005F5711" w:rsidP="005F5711">
      <w:pPr>
        <w:pStyle w:val="BBSchedule2"/>
        <w:numPr>
          <w:ilvl w:val="1"/>
          <w:numId w:val="3"/>
        </w:numPr>
        <w:rPr>
          <w:lang w:val="en-US"/>
        </w:rPr>
      </w:pPr>
      <w:r w:rsidRPr="00BD1D1C">
        <w:rPr>
          <w:lang w:val="en-US"/>
        </w:rPr>
        <w:t xml:space="preserve">Unless the context otherwise requires, words in the singular shall include the plural </w:t>
      </w:r>
      <w:proofErr w:type="gramStart"/>
      <w:r w:rsidRPr="00BD1D1C">
        <w:rPr>
          <w:lang w:val="en-US"/>
        </w:rPr>
        <w:t>and in the plural</w:t>
      </w:r>
      <w:proofErr w:type="gramEnd"/>
      <w:r w:rsidRPr="00BD1D1C">
        <w:rPr>
          <w:lang w:val="en-US"/>
        </w:rPr>
        <w:t xml:space="preserve"> shall include the singular.</w:t>
      </w:r>
    </w:p>
    <w:p w14:paraId="63EA6880" w14:textId="38BA80EE" w:rsidR="005F5711" w:rsidRPr="00BD1D1C" w:rsidRDefault="005F5711" w:rsidP="005F5711">
      <w:pPr>
        <w:pStyle w:val="BBScheduleHeading1"/>
        <w:numPr>
          <w:ilvl w:val="0"/>
          <w:numId w:val="3"/>
        </w:numPr>
        <w:outlineLvl w:val="9"/>
        <w:rPr>
          <w:lang w:val="en-US"/>
        </w:rPr>
      </w:pPr>
      <w:bookmarkStart w:id="4" w:name="_Toc523420023"/>
      <w:r w:rsidRPr="00BD1D1C">
        <w:rPr>
          <w:lang w:val="en-US"/>
        </w:rPr>
        <w:t xml:space="preserve">Processing of </w:t>
      </w:r>
      <w:bookmarkEnd w:id="4"/>
      <w:r w:rsidR="00CE32FE">
        <w:rPr>
          <w:lang w:val="en-US"/>
        </w:rPr>
        <w:t>Individual Data</w:t>
      </w:r>
    </w:p>
    <w:p w14:paraId="32B7EAA4" w14:textId="77777777" w:rsidR="005F5711" w:rsidRPr="00BD1D1C" w:rsidRDefault="005F5711" w:rsidP="005F5711">
      <w:pPr>
        <w:pStyle w:val="BBSchedule2"/>
        <w:numPr>
          <w:ilvl w:val="1"/>
          <w:numId w:val="3"/>
        </w:numPr>
        <w:rPr>
          <w:lang w:val="en-US"/>
        </w:rPr>
      </w:pPr>
      <w:r w:rsidRPr="00BD1D1C">
        <w:rPr>
          <w:lang w:val="en-US"/>
        </w:rPr>
        <w:t>For the purposes</w:t>
      </w:r>
      <w:r w:rsidR="00AA5783" w:rsidRPr="00BD1D1C">
        <w:rPr>
          <w:lang w:val="en-US"/>
        </w:rPr>
        <w:t xml:space="preserve"> of this Addendum, PPG and</w:t>
      </w:r>
      <w:r w:rsidRPr="00BD1D1C">
        <w:rPr>
          <w:lang w:val="en-US"/>
        </w:rPr>
        <w:t xml:space="preserve"> </w:t>
      </w:r>
      <w:r w:rsidR="004343B2" w:rsidRPr="00BD1D1C">
        <w:rPr>
          <w:lang w:val="en-US"/>
        </w:rPr>
        <w:t>the Supplier</w:t>
      </w:r>
      <w:r w:rsidRPr="00BD1D1C">
        <w:rPr>
          <w:lang w:val="en-US"/>
        </w:rPr>
        <w:t xml:space="preserve"> act as independent Data Controllers in relation to the Individual Data they Process in the course of </w:t>
      </w:r>
      <w:r w:rsidRPr="00BD1D1C">
        <w:rPr>
          <w:lang w:val="en-US"/>
        </w:rPr>
        <w:lastRenderedPageBreak/>
        <w:t xml:space="preserve">the performance of the </w:t>
      </w:r>
      <w:proofErr w:type="gramStart"/>
      <w:r w:rsidRPr="00BD1D1C">
        <w:rPr>
          <w:lang w:val="en-US"/>
        </w:rPr>
        <w:t>Agreement</w:t>
      </w:r>
      <w:proofErr w:type="gramEnd"/>
      <w:r w:rsidRPr="00BD1D1C">
        <w:rPr>
          <w:lang w:val="en-US"/>
        </w:rPr>
        <w:t xml:space="preserve"> and each shall comply with its respective obligations under applicable Data Protection Legislation in relation thereto.</w:t>
      </w:r>
    </w:p>
    <w:p w14:paraId="54B15DE2" w14:textId="77777777" w:rsidR="005F5711" w:rsidRPr="00BD1D1C" w:rsidRDefault="005F5711" w:rsidP="005F5711">
      <w:pPr>
        <w:pStyle w:val="BBSchedule2"/>
        <w:numPr>
          <w:ilvl w:val="1"/>
          <w:numId w:val="3"/>
        </w:numPr>
        <w:rPr>
          <w:lang w:val="en-US"/>
        </w:rPr>
      </w:pPr>
      <w:r w:rsidRPr="00BD1D1C">
        <w:rPr>
          <w:lang w:val="en-US"/>
        </w:rPr>
        <w:t xml:space="preserve">Each party shall promptly provide the other party such reasonable cooperation, </w:t>
      </w:r>
      <w:proofErr w:type="gramStart"/>
      <w:r w:rsidRPr="00BD1D1C">
        <w:rPr>
          <w:lang w:val="en-US"/>
        </w:rPr>
        <w:t>information</w:t>
      </w:r>
      <w:proofErr w:type="gramEnd"/>
      <w:r w:rsidRPr="00BD1D1C">
        <w:rPr>
          <w:lang w:val="en-US"/>
        </w:rPr>
        <w:t xml:space="preserve"> and assistance as required from time to time to enable such other party to comply with its obligations under applicable Data Protection Legislation.</w:t>
      </w:r>
    </w:p>
    <w:p w14:paraId="47B65F18" w14:textId="0212DE22" w:rsidR="000249F2" w:rsidRPr="000249F2" w:rsidRDefault="005F5711" w:rsidP="000249F2">
      <w:pPr>
        <w:pStyle w:val="BBSchedule2"/>
        <w:numPr>
          <w:ilvl w:val="1"/>
          <w:numId w:val="3"/>
        </w:numPr>
        <w:rPr>
          <w:lang w:val="en-US"/>
        </w:rPr>
      </w:pPr>
      <w:r w:rsidRPr="00BD1D1C">
        <w:rPr>
          <w:lang w:val="en-US"/>
        </w:rPr>
        <w:t>The parties shall not knowingly perform their obligations under this clause 2 in such a way as to cause the other party to breach any of its obligations under applicable Data Protection Legislation.</w:t>
      </w:r>
      <w:bookmarkStart w:id="5" w:name="_Toc523420024"/>
    </w:p>
    <w:p w14:paraId="08CFAE26" w14:textId="4E45539D" w:rsidR="000249F2" w:rsidRDefault="000249F2" w:rsidP="000249F2">
      <w:pPr>
        <w:pStyle w:val="BBScheduleHeading1"/>
        <w:numPr>
          <w:ilvl w:val="0"/>
          <w:numId w:val="3"/>
        </w:numPr>
        <w:outlineLvl w:val="9"/>
        <w:rPr>
          <w:lang w:val="en-US"/>
        </w:rPr>
      </w:pPr>
      <w:bookmarkStart w:id="6" w:name="_Ref151111460"/>
      <w:r>
        <w:rPr>
          <w:lang w:val="en-US"/>
        </w:rPr>
        <w:t>Security Measures</w:t>
      </w:r>
      <w:bookmarkEnd w:id="6"/>
    </w:p>
    <w:p w14:paraId="6881363C" w14:textId="6413947D" w:rsidR="000249F2" w:rsidRPr="000249F2" w:rsidRDefault="00CE32FE" w:rsidP="000249F2">
      <w:pPr>
        <w:pStyle w:val="BBSchedule2"/>
        <w:numPr>
          <w:ilvl w:val="1"/>
          <w:numId w:val="3"/>
        </w:numPr>
        <w:rPr>
          <w:rFonts w:cs="Arial"/>
          <w:lang w:val="en-US"/>
        </w:rPr>
      </w:pPr>
      <w:r>
        <w:rPr>
          <w:rFonts w:cs="Arial"/>
          <w:lang w:val="en-US"/>
        </w:rPr>
        <w:t>The parties</w:t>
      </w:r>
      <w:r w:rsidR="000249F2" w:rsidRPr="000249F2">
        <w:rPr>
          <w:rFonts w:cs="Arial"/>
          <w:lang w:val="en-US"/>
        </w:rPr>
        <w:t xml:space="preserve"> shall implement appropriate technical and organizational measures to ensure a level of security of the processing </w:t>
      </w:r>
      <w:r>
        <w:rPr>
          <w:rFonts w:cs="Arial"/>
          <w:lang w:val="en-US"/>
        </w:rPr>
        <w:t xml:space="preserve">of Individual Data </w:t>
      </w:r>
      <w:r w:rsidR="000249F2" w:rsidRPr="000249F2">
        <w:rPr>
          <w:rFonts w:cs="Arial"/>
          <w:lang w:val="en-US"/>
        </w:rPr>
        <w:t xml:space="preserve">appropriate to risk. </w:t>
      </w:r>
    </w:p>
    <w:p w14:paraId="400A9B07" w14:textId="29AD778E" w:rsidR="000249F2" w:rsidRPr="000249F2" w:rsidRDefault="000249F2" w:rsidP="000249F2">
      <w:pPr>
        <w:pStyle w:val="BBSchedule2"/>
        <w:numPr>
          <w:ilvl w:val="1"/>
          <w:numId w:val="3"/>
        </w:numPr>
        <w:rPr>
          <w:rFonts w:cs="Arial"/>
          <w:lang w:val="en-US"/>
        </w:rPr>
      </w:pPr>
      <w:r w:rsidRPr="000249F2">
        <w:rPr>
          <w:rFonts w:cs="Arial"/>
          <w:lang w:val="en-US"/>
        </w:rPr>
        <w:t xml:space="preserve">These measures shall include, at a minimum, the following security measures: (i) access to </w:t>
      </w:r>
      <w:r w:rsidR="00CE32FE">
        <w:rPr>
          <w:rFonts w:cs="Arial"/>
          <w:lang w:val="en-US"/>
        </w:rPr>
        <w:t>Individual Data</w:t>
      </w:r>
      <w:r w:rsidRPr="000249F2">
        <w:rPr>
          <w:rFonts w:cs="Arial"/>
          <w:lang w:val="en-US"/>
        </w:rPr>
        <w:t xml:space="preserve"> limited to authorized personnel only; (ii) appropriate physical and logical (passwords) entry controls; (iii) securing areas for data processing; (iv) implementing areas for data processing; (v) monitoring procedures; (vi) audit trails; (vii) network intrusion technology, (viii) encryption and authentication technology; (ix) virus protection; (x) </w:t>
      </w:r>
      <w:proofErr w:type="spellStart"/>
      <w:r w:rsidRPr="000249F2">
        <w:rPr>
          <w:rFonts w:cs="Arial"/>
          <w:lang w:val="en-US"/>
        </w:rPr>
        <w:t>pseudonymisation</w:t>
      </w:r>
      <w:proofErr w:type="spellEnd"/>
      <w:r w:rsidRPr="000249F2">
        <w:rPr>
          <w:rFonts w:cs="Arial"/>
          <w:lang w:val="en-US"/>
        </w:rPr>
        <w:t xml:space="preserve"> where applicable; (xi) procedures to maintain availability resilience, confidentiality, integrity of </w:t>
      </w:r>
      <w:r w:rsidR="00CE32FE">
        <w:rPr>
          <w:rFonts w:cs="Arial"/>
          <w:lang w:val="en-US"/>
        </w:rPr>
        <w:t>Individual Data</w:t>
      </w:r>
      <w:r w:rsidRPr="000249F2">
        <w:rPr>
          <w:rFonts w:cs="Arial"/>
          <w:lang w:val="en-US"/>
        </w:rPr>
        <w:t>; (xii) procedures to test effectiveness of the measures; (xiii) measures to identify vulnerabilities; (xiv) employee and contractor training.</w:t>
      </w:r>
    </w:p>
    <w:p w14:paraId="71EA1F5A" w14:textId="4BE02F4C" w:rsidR="000249F2" w:rsidRPr="000249F2" w:rsidRDefault="000249F2" w:rsidP="000249F2">
      <w:pPr>
        <w:pStyle w:val="BBSchedule2"/>
        <w:numPr>
          <w:ilvl w:val="1"/>
          <w:numId w:val="3"/>
        </w:numPr>
        <w:rPr>
          <w:rFonts w:cs="Arial"/>
          <w:lang w:val="en-US"/>
        </w:rPr>
      </w:pPr>
      <w:r w:rsidRPr="000249F2">
        <w:rPr>
          <w:rFonts w:cs="Arial"/>
          <w:lang w:val="en-US"/>
        </w:rPr>
        <w:t xml:space="preserve">At the request of the </w:t>
      </w:r>
      <w:r w:rsidR="00CE32FE">
        <w:rPr>
          <w:rFonts w:cs="Arial"/>
          <w:lang w:val="en-US"/>
        </w:rPr>
        <w:t>either Party</w:t>
      </w:r>
      <w:r w:rsidRPr="000249F2">
        <w:rPr>
          <w:rFonts w:cs="Arial"/>
          <w:lang w:val="en-US"/>
        </w:rPr>
        <w:t xml:space="preserve">, the </w:t>
      </w:r>
      <w:r w:rsidR="00CE32FE">
        <w:rPr>
          <w:rFonts w:cs="Arial"/>
          <w:lang w:val="en-US"/>
        </w:rPr>
        <w:t>other Party</w:t>
      </w:r>
      <w:r w:rsidRPr="000249F2">
        <w:rPr>
          <w:rFonts w:cs="Arial"/>
          <w:lang w:val="en-US"/>
        </w:rPr>
        <w:t xml:space="preserve"> shall demonstrate the measures taken in pursuant to this </w:t>
      </w:r>
      <w:r w:rsidR="00CE32FE">
        <w:rPr>
          <w:rFonts w:cs="Arial"/>
          <w:lang w:val="en-US"/>
        </w:rPr>
        <w:t>Article</w:t>
      </w:r>
      <w:r w:rsidRPr="000249F2">
        <w:rPr>
          <w:rFonts w:cs="Arial"/>
          <w:lang w:val="en-US"/>
        </w:rPr>
        <w:t xml:space="preserve"> and allow the </w:t>
      </w:r>
      <w:r w:rsidR="00CE32FE">
        <w:rPr>
          <w:rFonts w:cs="Arial"/>
          <w:lang w:val="en-US"/>
        </w:rPr>
        <w:t xml:space="preserve">requesting Party </w:t>
      </w:r>
      <w:r w:rsidRPr="000249F2">
        <w:rPr>
          <w:rFonts w:cs="Arial"/>
          <w:lang w:val="en-US"/>
        </w:rPr>
        <w:t xml:space="preserve">to audit such measures. </w:t>
      </w:r>
      <w:r w:rsidR="00CE32FE">
        <w:rPr>
          <w:rFonts w:cs="Arial"/>
          <w:lang w:val="en-US"/>
        </w:rPr>
        <w:t xml:space="preserve">The requested Party </w:t>
      </w:r>
      <w:r w:rsidRPr="000249F2">
        <w:rPr>
          <w:rFonts w:cs="Arial"/>
          <w:lang w:val="en-US"/>
        </w:rPr>
        <w:t xml:space="preserve">shall cooperate with such audits and allow the </w:t>
      </w:r>
      <w:r w:rsidR="00CE32FE">
        <w:rPr>
          <w:rFonts w:cs="Arial"/>
          <w:lang w:val="en-US"/>
        </w:rPr>
        <w:t>requesting Party</w:t>
      </w:r>
      <w:r w:rsidRPr="000249F2">
        <w:rPr>
          <w:rFonts w:cs="Arial"/>
          <w:lang w:val="en-US"/>
        </w:rPr>
        <w:t xml:space="preserve"> access to any such information required by the </w:t>
      </w:r>
      <w:r w:rsidR="00CE32FE">
        <w:rPr>
          <w:rFonts w:cs="Arial"/>
          <w:lang w:val="en-US"/>
        </w:rPr>
        <w:t xml:space="preserve">requesting Party </w:t>
      </w:r>
      <w:r w:rsidRPr="000249F2">
        <w:rPr>
          <w:rFonts w:cs="Arial"/>
          <w:lang w:val="en-US"/>
        </w:rPr>
        <w:t>to ascertain compliance with this Article.</w:t>
      </w:r>
    </w:p>
    <w:p w14:paraId="1781C68A" w14:textId="10A3EF11" w:rsidR="000249F2" w:rsidRPr="000249F2" w:rsidRDefault="00CE32FE" w:rsidP="000249F2">
      <w:pPr>
        <w:pStyle w:val="BBSchedule2"/>
        <w:numPr>
          <w:ilvl w:val="1"/>
          <w:numId w:val="3"/>
        </w:numPr>
        <w:rPr>
          <w:rFonts w:cs="Arial"/>
          <w:lang w:val="en-US"/>
        </w:rPr>
      </w:pPr>
      <w:r>
        <w:rPr>
          <w:rFonts w:cs="Arial"/>
          <w:lang w:val="en-US"/>
        </w:rPr>
        <w:t>Each Party</w:t>
      </w:r>
      <w:r w:rsidR="000249F2" w:rsidRPr="000249F2">
        <w:rPr>
          <w:rFonts w:cs="Arial"/>
          <w:lang w:val="en-US"/>
        </w:rPr>
        <w:t xml:space="preserve"> will evaluate the measures as implemented in accordance</w:t>
      </w:r>
      <w:r>
        <w:rPr>
          <w:rFonts w:cs="Arial"/>
          <w:lang w:val="en-US"/>
        </w:rPr>
        <w:t xml:space="preserve"> with this Article</w:t>
      </w:r>
      <w:r w:rsidR="000249F2" w:rsidRPr="000249F2">
        <w:rPr>
          <w:rFonts w:cs="Arial"/>
          <w:lang w:val="en-US"/>
        </w:rPr>
        <w:t xml:space="preserve"> on an ongoing basis </w:t>
      </w:r>
      <w:r w:rsidRPr="000249F2">
        <w:rPr>
          <w:rFonts w:cs="Arial"/>
          <w:lang w:val="en-US"/>
        </w:rPr>
        <w:t>to</w:t>
      </w:r>
      <w:r w:rsidR="000249F2" w:rsidRPr="000249F2">
        <w:rPr>
          <w:rFonts w:cs="Arial"/>
          <w:lang w:val="en-US"/>
        </w:rPr>
        <w:t xml:space="preserve"> maintain complianc</w:t>
      </w:r>
      <w:r>
        <w:rPr>
          <w:rFonts w:cs="Arial"/>
          <w:lang w:val="en-US"/>
        </w:rPr>
        <w:t>e</w:t>
      </w:r>
      <w:r w:rsidR="000249F2" w:rsidRPr="000249F2">
        <w:rPr>
          <w:rFonts w:cs="Arial"/>
          <w:lang w:val="en-US"/>
        </w:rPr>
        <w:t>.</w:t>
      </w:r>
    </w:p>
    <w:p w14:paraId="3FDF3C79" w14:textId="50133354" w:rsidR="005D10AB" w:rsidRPr="00BD1D1C" w:rsidRDefault="005F5711" w:rsidP="005D10AB">
      <w:pPr>
        <w:pStyle w:val="BBScheduleHeading1"/>
        <w:numPr>
          <w:ilvl w:val="0"/>
          <w:numId w:val="3"/>
        </w:numPr>
        <w:outlineLvl w:val="9"/>
        <w:rPr>
          <w:lang w:val="en-US"/>
        </w:rPr>
      </w:pPr>
      <w:r w:rsidRPr="00BD1D1C">
        <w:rPr>
          <w:lang w:val="en-US"/>
        </w:rPr>
        <w:t>Data Transfer Mechanisms</w:t>
      </w:r>
      <w:bookmarkEnd w:id="5"/>
    </w:p>
    <w:p w14:paraId="262FBF19" w14:textId="050DAF97" w:rsidR="00BD1D1C" w:rsidRPr="00BD1D1C" w:rsidRDefault="004F3361" w:rsidP="00D75858">
      <w:pPr>
        <w:pStyle w:val="BBSchedule2"/>
        <w:numPr>
          <w:ilvl w:val="1"/>
          <w:numId w:val="3"/>
        </w:numPr>
        <w:tabs>
          <w:tab w:val="clear" w:pos="720"/>
          <w:tab w:val="left" w:pos="708"/>
        </w:tabs>
        <w:rPr>
          <w:lang w:val="en-US"/>
        </w:rPr>
      </w:pPr>
      <w:r>
        <w:rPr>
          <w:lang w:val="en-US"/>
        </w:rPr>
        <w:t>Subject to Annex 1 “International Transfers”</w:t>
      </w:r>
      <w:r w:rsidR="00D83CF1">
        <w:rPr>
          <w:lang w:val="en-US"/>
        </w:rPr>
        <w:t xml:space="preserve"> for international transfers between the Parties</w:t>
      </w:r>
      <w:r>
        <w:rPr>
          <w:lang w:val="en-US"/>
        </w:rPr>
        <w:t>, e</w:t>
      </w:r>
      <w:r w:rsidR="00BD1D1C" w:rsidRPr="00BD1D1C">
        <w:rPr>
          <w:lang w:val="en-US"/>
        </w:rPr>
        <w:t>ither Party</w:t>
      </w:r>
      <w:r w:rsidR="00BD1D1C" w:rsidRPr="00BD1D1C">
        <w:rPr>
          <w:lang w:val="en-US"/>
        </w:rPr>
        <w:t xml:space="preserve"> </w:t>
      </w:r>
      <w:r w:rsidR="00BD1D1C" w:rsidRPr="00BD1D1C">
        <w:rPr>
          <w:lang w:val="en-US"/>
        </w:rPr>
        <w:t>may</w:t>
      </w:r>
      <w:r w:rsidR="00BD1D1C" w:rsidRPr="00BD1D1C">
        <w:rPr>
          <w:lang w:val="en-US"/>
        </w:rPr>
        <w:t xml:space="preserve"> realize International Transfer of </w:t>
      </w:r>
      <w:r w:rsidR="00CE32FE">
        <w:rPr>
          <w:lang w:val="en-US"/>
        </w:rPr>
        <w:t>Individual Data</w:t>
      </w:r>
      <w:r>
        <w:rPr>
          <w:lang w:val="en-US"/>
        </w:rPr>
        <w:t xml:space="preserve"> to </w:t>
      </w:r>
      <w:r w:rsidR="00D83CF1">
        <w:rPr>
          <w:lang w:val="en-US"/>
        </w:rPr>
        <w:t>a</w:t>
      </w:r>
      <w:r>
        <w:rPr>
          <w:lang w:val="en-US"/>
        </w:rPr>
        <w:t xml:space="preserve"> processor</w:t>
      </w:r>
      <w:r w:rsidR="00BD1D1C" w:rsidRPr="00BD1D1C">
        <w:rPr>
          <w:lang w:val="en-US"/>
        </w:rPr>
        <w:t xml:space="preserve">, provided that </w:t>
      </w:r>
      <w:r w:rsidR="00BD1D1C" w:rsidRPr="00BD1D1C">
        <w:rPr>
          <w:lang w:val="en-US"/>
        </w:rPr>
        <w:t>each Party</w:t>
      </w:r>
      <w:r w:rsidR="00BD1D1C" w:rsidRPr="00BD1D1C">
        <w:rPr>
          <w:lang w:val="en-US"/>
        </w:rPr>
        <w:t xml:space="preserve"> ensures such transfers comply with Applicable Data Privacy Laws. Without prejudice to the general authorization to transfer, the Supplier will inform and keep PPG updated of the countries to which the International Transfer is to be made.</w:t>
      </w:r>
    </w:p>
    <w:p w14:paraId="42A8451C" w14:textId="77777777" w:rsidR="005F5711" w:rsidRPr="00BD1D1C" w:rsidRDefault="005F5711" w:rsidP="005F5711">
      <w:pPr>
        <w:pStyle w:val="BBScheduleHeading1"/>
        <w:numPr>
          <w:ilvl w:val="0"/>
          <w:numId w:val="3"/>
        </w:numPr>
        <w:outlineLvl w:val="9"/>
        <w:rPr>
          <w:lang w:val="en-US"/>
        </w:rPr>
      </w:pPr>
      <w:bookmarkStart w:id="7" w:name="_Toc523420025"/>
      <w:r w:rsidRPr="00BD1D1C">
        <w:rPr>
          <w:lang w:val="en-US"/>
        </w:rPr>
        <w:t>Term and Termination</w:t>
      </w:r>
      <w:bookmarkEnd w:id="7"/>
    </w:p>
    <w:p w14:paraId="4C702075" w14:textId="77777777" w:rsidR="005F5711" w:rsidRPr="00BD1D1C" w:rsidRDefault="005F5711" w:rsidP="005F5711">
      <w:pPr>
        <w:pStyle w:val="BBSchedule2"/>
        <w:numPr>
          <w:ilvl w:val="1"/>
          <w:numId w:val="3"/>
        </w:numPr>
        <w:rPr>
          <w:lang w:val="en-US"/>
        </w:rPr>
      </w:pPr>
      <w:r w:rsidRPr="00BD1D1C">
        <w:rPr>
          <w:lang w:val="en-US"/>
        </w:rPr>
        <w:t>Without prejudice to any rights that have accrued under this Addendum or any of its rights or remedies, either party may terminate this Addendum with immediate effect by giving written notice to the other party if the other party commits a material breach of this Addendum.</w:t>
      </w:r>
    </w:p>
    <w:p w14:paraId="049A07D1" w14:textId="77777777" w:rsidR="005F5711" w:rsidRPr="00BD1D1C" w:rsidRDefault="005F5711" w:rsidP="005F5711">
      <w:pPr>
        <w:pStyle w:val="BBSchedule2"/>
        <w:numPr>
          <w:ilvl w:val="1"/>
          <w:numId w:val="3"/>
        </w:numPr>
        <w:rPr>
          <w:lang w:val="en-US"/>
        </w:rPr>
      </w:pPr>
      <w:r w:rsidRPr="00BD1D1C">
        <w:rPr>
          <w:lang w:val="en-US"/>
        </w:rPr>
        <w:t xml:space="preserve">This Addendum shall otherwise continue in full force and effect until expiry or termination of the Agreement. </w:t>
      </w:r>
    </w:p>
    <w:p w14:paraId="242A9234" w14:textId="77777777" w:rsidR="005F5711" w:rsidRPr="00BD1D1C" w:rsidRDefault="005F5711" w:rsidP="005F5711">
      <w:pPr>
        <w:pStyle w:val="BBSchedule2"/>
        <w:numPr>
          <w:ilvl w:val="1"/>
          <w:numId w:val="3"/>
        </w:numPr>
        <w:rPr>
          <w:lang w:val="en-US"/>
        </w:rPr>
      </w:pPr>
      <w:r w:rsidRPr="00BD1D1C">
        <w:rPr>
          <w:lang w:val="en-US"/>
        </w:rPr>
        <w:lastRenderedPageBreak/>
        <w:t xml:space="preserve">Termination of this Addendum shall not affect the accrued rights, remedies, </w:t>
      </w:r>
      <w:proofErr w:type="gramStart"/>
      <w:r w:rsidRPr="00BD1D1C">
        <w:rPr>
          <w:lang w:val="en-US"/>
        </w:rPr>
        <w:t>obligations</w:t>
      </w:r>
      <w:proofErr w:type="gramEnd"/>
      <w:r w:rsidRPr="00BD1D1C">
        <w:rPr>
          <w:lang w:val="en-US"/>
        </w:rPr>
        <w:t xml:space="preserve"> or liabilities of the parties existing at termination. </w:t>
      </w:r>
    </w:p>
    <w:p w14:paraId="10378DFD" w14:textId="77777777" w:rsidR="005F5711" w:rsidRPr="00BD1D1C" w:rsidRDefault="005F5711" w:rsidP="005F5711">
      <w:pPr>
        <w:pStyle w:val="BBSchedule2"/>
        <w:numPr>
          <w:ilvl w:val="1"/>
          <w:numId w:val="3"/>
        </w:numPr>
        <w:rPr>
          <w:lang w:val="en-US"/>
        </w:rPr>
      </w:pPr>
      <w:r w:rsidRPr="00BD1D1C">
        <w:rPr>
          <w:lang w:val="en-US"/>
        </w:rPr>
        <w:t>Any provision of this Addendum that expressly or by implication is intended to come into or continue in force on or after termination of this Addendum shall remain in full force and effect.</w:t>
      </w:r>
    </w:p>
    <w:p w14:paraId="3E4EE61F" w14:textId="24563004" w:rsidR="005F5711" w:rsidRPr="00BD1D1C" w:rsidRDefault="005F5711" w:rsidP="005F5711">
      <w:pPr>
        <w:pStyle w:val="BBScheduleHeading1"/>
        <w:numPr>
          <w:ilvl w:val="0"/>
          <w:numId w:val="3"/>
        </w:numPr>
        <w:outlineLvl w:val="9"/>
        <w:rPr>
          <w:lang w:val="en-US"/>
        </w:rPr>
      </w:pPr>
      <w:bookmarkStart w:id="8" w:name="_Toc523420026"/>
      <w:r w:rsidRPr="00BD1D1C">
        <w:rPr>
          <w:lang w:val="en-US"/>
        </w:rPr>
        <w:t>Governing Law</w:t>
      </w:r>
      <w:bookmarkEnd w:id="8"/>
    </w:p>
    <w:p w14:paraId="73DF0A7A" w14:textId="7548930C" w:rsidR="005F5711" w:rsidRPr="00BD1D1C" w:rsidRDefault="005F5711" w:rsidP="005F5711">
      <w:pPr>
        <w:pStyle w:val="BBSchedule2"/>
        <w:numPr>
          <w:ilvl w:val="1"/>
          <w:numId w:val="3"/>
        </w:numPr>
        <w:rPr>
          <w:lang w:val="en-US"/>
        </w:rPr>
      </w:pPr>
      <w:r w:rsidRPr="00BD1D1C">
        <w:rPr>
          <w:lang w:val="en-US"/>
        </w:rPr>
        <w:t xml:space="preserve">These terms and any dispute or claim (including non-contractual disputes or claims) arising out of or in connection with the subject matter or formation of this Addendum shall be governed by and interpreted in accordance with the law specified in the Agreement. </w:t>
      </w:r>
      <w:proofErr w:type="gramStart"/>
      <w:r w:rsidRPr="00BD1D1C">
        <w:rPr>
          <w:lang w:val="en-US"/>
        </w:rPr>
        <w:t>In the event that</w:t>
      </w:r>
      <w:proofErr w:type="gramEnd"/>
      <w:r w:rsidRPr="00BD1D1C">
        <w:rPr>
          <w:lang w:val="en-US"/>
        </w:rPr>
        <w:t xml:space="preserve"> such law is not clearly specified in the Agreement, </w:t>
      </w:r>
      <w:r w:rsidR="00BD1D1C" w:rsidRPr="00BD1D1C">
        <w:rPr>
          <w:lang w:val="en-US"/>
        </w:rPr>
        <w:t>this Addendum</w:t>
      </w:r>
      <w:r w:rsidR="00BD1D1C" w:rsidRPr="00BD1D1C">
        <w:rPr>
          <w:lang w:val="en-US"/>
        </w:rPr>
        <w:t xml:space="preserve"> and the relations of the parties hereunder shall be governed by the law of the place where the PPG entity has its registered office as indicated above. </w:t>
      </w:r>
    </w:p>
    <w:p w14:paraId="76CF80DE" w14:textId="34E01D5E" w:rsidR="004F3361" w:rsidRDefault="00A164DF" w:rsidP="004F3361">
      <w:pPr>
        <w:pStyle w:val="BBSchedule2"/>
        <w:numPr>
          <w:ilvl w:val="1"/>
          <w:numId w:val="3"/>
        </w:numPr>
        <w:rPr>
          <w:lang w:val="en-US"/>
        </w:rPr>
      </w:pPr>
      <w:r w:rsidRPr="00BD1D1C">
        <w:rPr>
          <w:lang w:val="en-US"/>
        </w:rPr>
        <w:t>Supplier</w:t>
      </w:r>
      <w:r w:rsidR="005F5711" w:rsidRPr="00BD1D1C">
        <w:rPr>
          <w:lang w:val="en-US"/>
        </w:rPr>
        <w:t xml:space="preserve"> and PPG irrevocably agree that the courts specified in the Agreement shall have exclusive jurisdiction to settle any dispute or claim (including non-contractual disputes or claims) that arises out of, or in connection with, this Addendum or its subject matter or formation.</w:t>
      </w:r>
      <w:r w:rsidR="00BD1D1C">
        <w:rPr>
          <w:lang w:val="en-US"/>
        </w:rPr>
        <w:t xml:space="preserve"> </w:t>
      </w:r>
      <w:proofErr w:type="gramStart"/>
      <w:r w:rsidR="00BD1D1C" w:rsidRPr="00BD1D1C">
        <w:rPr>
          <w:lang w:val="en-US"/>
        </w:rPr>
        <w:t>In the event that</w:t>
      </w:r>
      <w:proofErr w:type="gramEnd"/>
      <w:r w:rsidR="00BD1D1C" w:rsidRPr="00BD1D1C">
        <w:rPr>
          <w:lang w:val="en-US"/>
        </w:rPr>
        <w:t xml:space="preserve"> such</w:t>
      </w:r>
      <w:r w:rsidR="00BD1D1C">
        <w:rPr>
          <w:lang w:val="en-US"/>
        </w:rPr>
        <w:t xml:space="preserve"> courts</w:t>
      </w:r>
      <w:r w:rsidR="00BD1D1C" w:rsidRPr="00BD1D1C">
        <w:rPr>
          <w:lang w:val="en-US"/>
        </w:rPr>
        <w:t xml:space="preserve"> </w:t>
      </w:r>
      <w:r w:rsidR="00BD1D1C">
        <w:rPr>
          <w:lang w:val="en-US"/>
        </w:rPr>
        <w:t>are</w:t>
      </w:r>
      <w:r w:rsidR="00BD1D1C" w:rsidRPr="00BD1D1C">
        <w:rPr>
          <w:lang w:val="en-US"/>
        </w:rPr>
        <w:t xml:space="preserve"> not clearly specified in the Agreement,</w:t>
      </w:r>
      <w:r w:rsidR="00BD1D1C">
        <w:rPr>
          <w:lang w:val="en-US"/>
        </w:rPr>
        <w:t xml:space="preserve"> t</w:t>
      </w:r>
      <w:r w:rsidR="00BD1D1C">
        <w:rPr>
          <w:lang w:val="en-US"/>
        </w:rPr>
        <w:t>he courts</w:t>
      </w:r>
      <w:r w:rsidR="00BD1D1C" w:rsidRPr="00BD1D1C">
        <w:rPr>
          <w:lang w:val="en-US"/>
        </w:rPr>
        <w:t xml:space="preserve"> of the place where the PPG entity has its registered office shall have sole jurisdiction.</w:t>
      </w:r>
    </w:p>
    <w:p w14:paraId="5896ADB2" w14:textId="3CB160D0" w:rsidR="00CE32FE" w:rsidRDefault="00CE32FE">
      <w:pPr>
        <w:spacing w:after="160" w:line="259" w:lineRule="auto"/>
        <w:rPr>
          <w:rFonts w:cs="Times New Roman"/>
          <w:lang w:val="en-US"/>
        </w:rPr>
      </w:pPr>
      <w:r>
        <w:rPr>
          <w:lang w:val="en-US"/>
        </w:rPr>
        <w:br w:type="page"/>
      </w:r>
    </w:p>
    <w:p w14:paraId="7BDBD54A" w14:textId="77777777" w:rsidR="004F3361" w:rsidRDefault="004F3361" w:rsidP="00CE32FE">
      <w:pPr>
        <w:pStyle w:val="BBBodyTextIndent1"/>
        <w:ind w:left="0"/>
        <w:rPr>
          <w:lang w:val="en-US"/>
        </w:rPr>
      </w:pPr>
    </w:p>
    <w:p w14:paraId="469FBE1B" w14:textId="77777777" w:rsidR="004F3361" w:rsidRDefault="004F3361" w:rsidP="004F3361">
      <w:pPr>
        <w:pStyle w:val="BBBodyTextIndent1"/>
        <w:jc w:val="center"/>
        <w:rPr>
          <w:b/>
          <w:bCs/>
          <w:lang w:val="en-US"/>
        </w:rPr>
      </w:pPr>
      <w:r w:rsidRPr="004F3361">
        <w:rPr>
          <w:b/>
          <w:bCs/>
          <w:lang w:val="en-US"/>
        </w:rPr>
        <w:t>Annex 1</w:t>
      </w:r>
      <w:r>
        <w:rPr>
          <w:b/>
          <w:bCs/>
          <w:lang w:val="en-US"/>
        </w:rPr>
        <w:t xml:space="preserve"> </w:t>
      </w:r>
    </w:p>
    <w:p w14:paraId="386BF236" w14:textId="143310EC" w:rsidR="004F3361" w:rsidRPr="004F3361" w:rsidRDefault="004F3361" w:rsidP="004F3361">
      <w:pPr>
        <w:pStyle w:val="BBBodyTextIndent1"/>
        <w:jc w:val="center"/>
        <w:rPr>
          <w:b/>
          <w:bCs/>
          <w:caps/>
          <w:lang w:val="en-US"/>
        </w:rPr>
      </w:pPr>
      <w:r w:rsidRPr="004F3361">
        <w:rPr>
          <w:b/>
          <w:bCs/>
          <w:caps/>
          <w:lang w:val="en-US"/>
        </w:rPr>
        <w:t>International Transfers</w:t>
      </w:r>
    </w:p>
    <w:p w14:paraId="6FCA78EA" w14:textId="7958FE5F" w:rsidR="004F3361" w:rsidRDefault="004F3361" w:rsidP="004F3361">
      <w:pPr>
        <w:pStyle w:val="BBBodyTextIndent1"/>
        <w:ind w:left="0"/>
        <w:jc w:val="left"/>
        <w:rPr>
          <w:lang w:val="en-US"/>
        </w:rPr>
      </w:pPr>
    </w:p>
    <w:p w14:paraId="25FDFD17" w14:textId="1A2D81F9" w:rsidR="004F3361" w:rsidRPr="004F3361" w:rsidRDefault="004F3361" w:rsidP="004F3361">
      <w:pPr>
        <w:pStyle w:val="ListParagraph"/>
        <w:numPr>
          <w:ilvl w:val="0"/>
          <w:numId w:val="15"/>
        </w:numPr>
        <w:ind w:left="792"/>
        <w:jc w:val="both"/>
        <w:rPr>
          <w:rFonts w:ascii="Georgia" w:hAnsi="Georgia" w:cs="Arial"/>
          <w:b/>
          <w:bCs/>
          <w:u w:val="single"/>
        </w:rPr>
      </w:pPr>
      <w:r w:rsidRPr="004F3361">
        <w:rPr>
          <w:rFonts w:ascii="Georgia" w:hAnsi="Georgia" w:cs="Arial"/>
          <w:b/>
          <w:bCs/>
          <w:u w:val="single"/>
        </w:rPr>
        <w:t>EEA.</w:t>
      </w:r>
      <w:r w:rsidRPr="004F3361">
        <w:rPr>
          <w:rFonts w:ascii="Georgia" w:hAnsi="Georgia" w:cs="Arial"/>
        </w:rPr>
        <w:t xml:space="preserve"> To the extent </w:t>
      </w:r>
      <w:r w:rsidR="00CE32FE">
        <w:rPr>
          <w:rFonts w:ascii="Georgia" w:hAnsi="Georgia" w:cs="Arial"/>
        </w:rPr>
        <w:t>Individual Data</w:t>
      </w:r>
      <w:r w:rsidRPr="004F3361">
        <w:rPr>
          <w:rFonts w:ascii="Georgia" w:hAnsi="Georgia" w:cs="Arial"/>
        </w:rPr>
        <w:t xml:space="preserve"> originates in the EEA, the following additional provisions shall apply:</w:t>
      </w:r>
    </w:p>
    <w:p w14:paraId="1BE32AB5" w14:textId="77777777" w:rsidR="004F3361" w:rsidRPr="004F3361" w:rsidRDefault="004F3361" w:rsidP="004F3361">
      <w:pPr>
        <w:pStyle w:val="ListParagraph"/>
        <w:ind w:left="792"/>
        <w:jc w:val="both"/>
        <w:rPr>
          <w:rFonts w:ascii="Georgia" w:hAnsi="Georgia" w:cs="Arial"/>
          <w:b/>
          <w:bCs/>
          <w:u w:val="single"/>
        </w:rPr>
      </w:pPr>
    </w:p>
    <w:p w14:paraId="74EA22F0" w14:textId="217B6102" w:rsidR="004F3361" w:rsidRPr="004F3361" w:rsidRDefault="004F3361" w:rsidP="004F3361">
      <w:pPr>
        <w:pStyle w:val="ListParagraph"/>
        <w:numPr>
          <w:ilvl w:val="1"/>
          <w:numId w:val="15"/>
        </w:numPr>
        <w:ind w:left="1276" w:hanging="425"/>
        <w:jc w:val="both"/>
        <w:rPr>
          <w:rFonts w:ascii="Georgia" w:hAnsi="Georgia" w:cs="Arial"/>
          <w:b/>
          <w:bCs/>
          <w:u w:val="single"/>
        </w:rPr>
      </w:pPr>
      <w:r w:rsidRPr="004F3361">
        <w:rPr>
          <w:rFonts w:ascii="Georgia" w:hAnsi="Georgia" w:cs="Arial"/>
          <w:b/>
          <w:bCs/>
          <w:u w:val="single"/>
        </w:rPr>
        <w:t>International Transfers:</w:t>
      </w:r>
      <w:r w:rsidRPr="004F3361">
        <w:rPr>
          <w:rFonts w:ascii="Georgia" w:hAnsi="Georgia" w:cs="Arial"/>
        </w:rPr>
        <w:t xml:space="preserve"> If transfer</w:t>
      </w:r>
      <w:r>
        <w:rPr>
          <w:rFonts w:ascii="Georgia" w:hAnsi="Georgia" w:cs="Arial"/>
        </w:rPr>
        <w:t xml:space="preserve"> of</w:t>
      </w:r>
      <w:r w:rsidRPr="004F3361">
        <w:rPr>
          <w:rFonts w:ascii="Georgia" w:hAnsi="Georgia" w:cs="Arial"/>
        </w:rPr>
        <w:t xml:space="preserve"> </w:t>
      </w:r>
      <w:r>
        <w:rPr>
          <w:rFonts w:ascii="Georgia" w:hAnsi="Georgia" w:cs="Arial"/>
        </w:rPr>
        <w:t>Individual Data</w:t>
      </w:r>
      <w:r w:rsidR="00522786">
        <w:rPr>
          <w:rFonts w:ascii="Georgia" w:hAnsi="Georgia" w:cs="Arial"/>
        </w:rPr>
        <w:t xml:space="preserve"> between the Parties implies a transfer</w:t>
      </w:r>
      <w:r w:rsidRPr="004F3361">
        <w:rPr>
          <w:rFonts w:ascii="Georgia" w:hAnsi="Georgia" w:cs="Arial"/>
        </w:rPr>
        <w:t xml:space="preserve"> outside of EEA, </w:t>
      </w:r>
      <w:r w:rsidR="00522786">
        <w:rPr>
          <w:rFonts w:ascii="Georgia" w:hAnsi="Georgia" w:cs="Arial"/>
        </w:rPr>
        <w:t xml:space="preserve">each party </w:t>
      </w:r>
      <w:r w:rsidRPr="004F3361">
        <w:rPr>
          <w:rFonts w:ascii="Georgia" w:hAnsi="Georgia" w:cs="Arial"/>
        </w:rPr>
        <w:t>will take appropriate safeguards before any such transfer is made including ensuring that the country or territory to which the International Transfer is to be made is subject to a valid adequacy decision issued by the European Commission or adequacy is determined by another valid method under applicable Data Privacy Laws.</w:t>
      </w:r>
    </w:p>
    <w:p w14:paraId="554B5270" w14:textId="77777777" w:rsidR="004F3361" w:rsidRPr="004F3361" w:rsidRDefault="004F3361" w:rsidP="004F3361">
      <w:pPr>
        <w:pStyle w:val="ListParagraph"/>
        <w:ind w:left="1276"/>
        <w:jc w:val="both"/>
        <w:rPr>
          <w:rFonts w:ascii="Georgia" w:hAnsi="Georgia" w:cs="Arial"/>
          <w:b/>
          <w:bCs/>
          <w:u w:val="single"/>
        </w:rPr>
      </w:pPr>
    </w:p>
    <w:p w14:paraId="45A67944" w14:textId="4EA2F87E" w:rsidR="004F3361" w:rsidRPr="004F3361" w:rsidRDefault="004F3361" w:rsidP="004F3361">
      <w:pPr>
        <w:pStyle w:val="ListParagraph"/>
        <w:numPr>
          <w:ilvl w:val="1"/>
          <w:numId w:val="15"/>
        </w:numPr>
        <w:ind w:left="1276" w:hanging="425"/>
        <w:jc w:val="both"/>
        <w:rPr>
          <w:rFonts w:ascii="Georgia" w:hAnsi="Georgia" w:cs="Arial"/>
        </w:rPr>
      </w:pPr>
      <w:r w:rsidRPr="004F3361">
        <w:rPr>
          <w:rFonts w:ascii="Georgia" w:hAnsi="Georgia" w:cs="Arial"/>
          <w:b/>
          <w:bCs/>
          <w:u w:val="single"/>
        </w:rPr>
        <w:t>2021 Standard Contractual Clauses</w:t>
      </w:r>
      <w:r w:rsidRPr="004F3361">
        <w:rPr>
          <w:rFonts w:ascii="Georgia" w:hAnsi="Georgia" w:cs="Arial"/>
        </w:rPr>
        <w:t xml:space="preserve">. The parties agree that the 2021 Standard Contractual Clauses will apply to </w:t>
      </w:r>
      <w:r w:rsidR="00522786">
        <w:rPr>
          <w:rFonts w:ascii="Georgia" w:hAnsi="Georgia" w:cs="Arial"/>
        </w:rPr>
        <w:t>Individual Data</w:t>
      </w:r>
      <w:r w:rsidRPr="004F3361">
        <w:rPr>
          <w:rFonts w:ascii="Georgia" w:hAnsi="Georgia" w:cs="Arial"/>
        </w:rPr>
        <w:t xml:space="preserve"> that is transferred </w:t>
      </w:r>
      <w:r w:rsidR="00522786">
        <w:rPr>
          <w:rFonts w:ascii="Georgia" w:hAnsi="Georgia" w:cs="Arial"/>
        </w:rPr>
        <w:t>under this Addendum</w:t>
      </w:r>
      <w:r w:rsidRPr="004F3361">
        <w:rPr>
          <w:rFonts w:ascii="Georgia" w:hAnsi="Georgia" w:cs="Arial"/>
        </w:rPr>
        <w:t xml:space="preserve"> from the European Economic Area, either directly or via onward transfer, to any country or recipient outside the European Economic Area that is not recognized by the European Commission as providing an adequate level of protection for personal data. For data transfers from the European Economic Area that are subject to the 2021 Standard Contractual Clauses, the 2021 Standard Contractual Clauses will be deemed </w:t>
      </w:r>
      <w:proofErr w:type="gramStart"/>
      <w:r w:rsidRPr="004F3361">
        <w:rPr>
          <w:rFonts w:ascii="Georgia" w:hAnsi="Georgia" w:cs="Arial"/>
        </w:rPr>
        <w:t>entered into</w:t>
      </w:r>
      <w:proofErr w:type="gramEnd"/>
      <w:r w:rsidRPr="004F3361">
        <w:rPr>
          <w:rFonts w:ascii="Georgia" w:hAnsi="Georgia" w:cs="Arial"/>
        </w:rPr>
        <w:t xml:space="preserve"> (and incorporated into this </w:t>
      </w:r>
      <w:r w:rsidR="00CE32FE">
        <w:rPr>
          <w:rFonts w:ascii="Georgia" w:hAnsi="Georgia" w:cs="Arial"/>
        </w:rPr>
        <w:t>Addendum</w:t>
      </w:r>
      <w:r w:rsidRPr="004F3361">
        <w:rPr>
          <w:rFonts w:ascii="Georgia" w:hAnsi="Georgia" w:cs="Arial"/>
        </w:rPr>
        <w:t xml:space="preserve"> by this reference) and completed as follows:</w:t>
      </w:r>
    </w:p>
    <w:tbl>
      <w:tblPr>
        <w:tblStyle w:val="TableGrid"/>
        <w:tblpPr w:leftFromText="141" w:rightFromText="141" w:vertAnchor="text" w:horzAnchor="margin" w:tblpXSpec="right" w:tblpY="132"/>
        <w:tblW w:w="4487" w:type="pct"/>
        <w:tblInd w:w="0" w:type="dxa"/>
        <w:tblLook w:val="04A0" w:firstRow="1" w:lastRow="0" w:firstColumn="1" w:lastColumn="0" w:noHBand="0" w:noVBand="1"/>
      </w:tblPr>
      <w:tblGrid>
        <w:gridCol w:w="1121"/>
        <w:gridCol w:w="6502"/>
      </w:tblGrid>
      <w:tr w:rsidR="004F3361" w:rsidRPr="004F3361" w14:paraId="3A1ABF49" w14:textId="77777777" w:rsidTr="00DE4733">
        <w:tc>
          <w:tcPr>
            <w:tcW w:w="5000" w:type="pct"/>
            <w:gridSpan w:val="2"/>
          </w:tcPr>
          <w:p w14:paraId="1E86F2BB" w14:textId="0614CEC4" w:rsidR="004F3361" w:rsidRPr="004F3361" w:rsidRDefault="004F3361" w:rsidP="00DE4733">
            <w:pPr>
              <w:pStyle w:val="ListParagraph"/>
              <w:ind w:left="0" w:firstLine="22"/>
              <w:jc w:val="both"/>
              <w:rPr>
                <w:rFonts w:ascii="Georgia" w:hAnsi="Georgia" w:cs="Arial"/>
                <w:b/>
                <w:bCs/>
                <w:u w:val="single"/>
              </w:rPr>
            </w:pPr>
            <w:r w:rsidRPr="004F3361">
              <w:rPr>
                <w:rFonts w:ascii="Georgia" w:hAnsi="Georgia" w:cs="Arial"/>
              </w:rPr>
              <w:t xml:space="preserve">Module </w:t>
            </w:r>
            <w:r w:rsidR="00522786">
              <w:rPr>
                <w:rFonts w:ascii="Georgia" w:hAnsi="Georgia" w:cs="Arial"/>
              </w:rPr>
              <w:t>One</w:t>
            </w:r>
            <w:r w:rsidRPr="004F3361">
              <w:rPr>
                <w:rFonts w:ascii="Georgia" w:hAnsi="Georgia" w:cs="Arial"/>
              </w:rPr>
              <w:t xml:space="preserve"> (Controller to </w:t>
            </w:r>
            <w:r w:rsidR="00522786">
              <w:rPr>
                <w:rFonts w:ascii="Georgia" w:hAnsi="Georgia" w:cs="Arial"/>
              </w:rPr>
              <w:t>Controller</w:t>
            </w:r>
            <w:r w:rsidRPr="004F3361">
              <w:rPr>
                <w:rFonts w:ascii="Georgia" w:hAnsi="Georgia" w:cs="Arial"/>
              </w:rPr>
              <w:t>) of the 2021 Standard Contractual Clauses will apply where PPG is a</w:t>
            </w:r>
            <w:r w:rsidR="00D83CF1">
              <w:rPr>
                <w:rFonts w:ascii="Georgia" w:hAnsi="Georgia" w:cs="Arial"/>
              </w:rPr>
              <w:t>n independent data</w:t>
            </w:r>
            <w:r w:rsidRPr="004F3361">
              <w:rPr>
                <w:rFonts w:ascii="Georgia" w:hAnsi="Georgia" w:cs="Arial"/>
              </w:rPr>
              <w:t xml:space="preserve"> </w:t>
            </w:r>
            <w:proofErr w:type="gramStart"/>
            <w:r w:rsidRPr="004F3361">
              <w:rPr>
                <w:rFonts w:ascii="Georgia" w:hAnsi="Georgia" w:cs="Arial"/>
              </w:rPr>
              <w:t>controller</w:t>
            </w:r>
            <w:proofErr w:type="gramEnd"/>
            <w:r w:rsidRPr="004F3361">
              <w:rPr>
                <w:rFonts w:ascii="Georgia" w:hAnsi="Georgia" w:cs="Arial"/>
              </w:rPr>
              <w:t xml:space="preserve"> and the Supplier is acting as a</w:t>
            </w:r>
            <w:r w:rsidR="00CE32FE">
              <w:rPr>
                <w:rFonts w:ascii="Georgia" w:hAnsi="Georgia" w:cs="Arial"/>
              </w:rPr>
              <w:t>n independent data controller.</w:t>
            </w:r>
          </w:p>
        </w:tc>
      </w:tr>
      <w:tr w:rsidR="004F3361" w:rsidRPr="004F3361" w14:paraId="6EF41FE9" w14:textId="77777777" w:rsidTr="00DE4733">
        <w:tc>
          <w:tcPr>
            <w:tcW w:w="735" w:type="pct"/>
          </w:tcPr>
          <w:p w14:paraId="06A53210" w14:textId="77777777" w:rsidR="004F3361" w:rsidRPr="004F3361" w:rsidRDefault="004F3361" w:rsidP="00DE4733">
            <w:pPr>
              <w:pStyle w:val="ListParagraph"/>
              <w:ind w:left="0"/>
              <w:jc w:val="both"/>
              <w:rPr>
                <w:rFonts w:ascii="Georgia" w:hAnsi="Georgia" w:cs="Arial"/>
              </w:rPr>
            </w:pPr>
            <w:r w:rsidRPr="004F3361">
              <w:rPr>
                <w:rFonts w:ascii="Georgia" w:hAnsi="Georgia" w:cs="Arial"/>
              </w:rPr>
              <w:t>Clause 17</w:t>
            </w:r>
          </w:p>
          <w:p w14:paraId="0A7E4098" w14:textId="77777777" w:rsidR="004F3361" w:rsidRPr="004F3361" w:rsidRDefault="004F3361" w:rsidP="00DE4733">
            <w:pPr>
              <w:pStyle w:val="ListParagraph"/>
              <w:ind w:left="0"/>
              <w:jc w:val="both"/>
              <w:rPr>
                <w:rFonts w:ascii="Georgia" w:hAnsi="Georgia" w:cs="Arial"/>
              </w:rPr>
            </w:pPr>
            <w:r w:rsidRPr="004F3361">
              <w:rPr>
                <w:rFonts w:ascii="Georgia" w:hAnsi="Georgia" w:cs="Arial"/>
              </w:rPr>
              <w:t>(Option 1)</w:t>
            </w:r>
          </w:p>
        </w:tc>
        <w:tc>
          <w:tcPr>
            <w:tcW w:w="4265" w:type="pct"/>
          </w:tcPr>
          <w:p w14:paraId="2880C436" w14:textId="77777777" w:rsidR="004F3361" w:rsidRPr="004F3361" w:rsidRDefault="004F3361" w:rsidP="00DE4733">
            <w:pPr>
              <w:pStyle w:val="ListParagraph"/>
              <w:ind w:left="0"/>
              <w:jc w:val="both"/>
              <w:rPr>
                <w:rFonts w:ascii="Georgia" w:hAnsi="Georgia" w:cs="Arial"/>
                <w:b/>
                <w:bCs/>
                <w:u w:val="single"/>
              </w:rPr>
            </w:pPr>
            <w:r w:rsidRPr="004F3361">
              <w:rPr>
                <w:rFonts w:ascii="Georgia" w:hAnsi="Georgia" w:cs="Arial"/>
              </w:rPr>
              <w:t>French law</w:t>
            </w:r>
          </w:p>
        </w:tc>
      </w:tr>
      <w:tr w:rsidR="004F3361" w:rsidRPr="004F3361" w14:paraId="25952FE2" w14:textId="77777777" w:rsidTr="00DE4733">
        <w:tc>
          <w:tcPr>
            <w:tcW w:w="735" w:type="pct"/>
          </w:tcPr>
          <w:p w14:paraId="267914BF" w14:textId="77777777" w:rsidR="004F3361" w:rsidRPr="004F3361" w:rsidRDefault="004F3361" w:rsidP="00DE4733">
            <w:pPr>
              <w:pStyle w:val="ListParagraph"/>
              <w:ind w:left="0"/>
              <w:jc w:val="both"/>
              <w:rPr>
                <w:rFonts w:ascii="Georgia" w:hAnsi="Georgia" w:cs="Arial"/>
              </w:rPr>
            </w:pPr>
            <w:r w:rsidRPr="004F3361">
              <w:rPr>
                <w:rFonts w:ascii="Georgia" w:hAnsi="Georgia" w:cs="Arial"/>
              </w:rPr>
              <w:t>Clause 18(b)</w:t>
            </w:r>
          </w:p>
        </w:tc>
        <w:tc>
          <w:tcPr>
            <w:tcW w:w="4265" w:type="pct"/>
          </w:tcPr>
          <w:p w14:paraId="0E1DBAD5" w14:textId="77777777" w:rsidR="004F3361" w:rsidRPr="004F3361" w:rsidRDefault="004F3361" w:rsidP="00DE4733">
            <w:pPr>
              <w:pStyle w:val="ListParagraph"/>
              <w:ind w:left="0"/>
              <w:jc w:val="both"/>
              <w:rPr>
                <w:rFonts w:ascii="Georgia" w:hAnsi="Georgia" w:cs="Arial"/>
              </w:rPr>
            </w:pPr>
            <w:r w:rsidRPr="004F3361">
              <w:rPr>
                <w:rFonts w:ascii="Georgia" w:hAnsi="Georgia" w:cs="Arial"/>
              </w:rPr>
              <w:t>Disputes will be resolved before the courts of France</w:t>
            </w:r>
          </w:p>
        </w:tc>
      </w:tr>
      <w:tr w:rsidR="004F3361" w:rsidRPr="004F3361" w14:paraId="0681D028" w14:textId="77777777" w:rsidTr="00DE4733">
        <w:tc>
          <w:tcPr>
            <w:tcW w:w="735" w:type="pct"/>
          </w:tcPr>
          <w:p w14:paraId="675AB4E9" w14:textId="77777777" w:rsidR="004F3361" w:rsidRPr="004F3361" w:rsidRDefault="004F3361" w:rsidP="00DE4733">
            <w:pPr>
              <w:pStyle w:val="ListParagraph"/>
              <w:ind w:left="0"/>
              <w:jc w:val="both"/>
              <w:rPr>
                <w:rFonts w:ascii="Georgia" w:hAnsi="Georgia" w:cs="Arial"/>
              </w:rPr>
            </w:pPr>
            <w:r w:rsidRPr="004F3361">
              <w:rPr>
                <w:rFonts w:ascii="Georgia" w:hAnsi="Georgia" w:cs="Arial"/>
              </w:rPr>
              <w:t>Annex I, Part A</w:t>
            </w:r>
          </w:p>
        </w:tc>
        <w:tc>
          <w:tcPr>
            <w:tcW w:w="4265" w:type="pct"/>
          </w:tcPr>
          <w:p w14:paraId="1DDB373F" w14:textId="2FA1EBD6" w:rsidR="004F3361" w:rsidRPr="004F3361" w:rsidRDefault="004F3361" w:rsidP="00DE4733">
            <w:pPr>
              <w:jc w:val="both"/>
              <w:rPr>
                <w:rFonts w:cs="Arial"/>
              </w:rPr>
            </w:pPr>
            <w:r w:rsidRPr="004F3361">
              <w:rPr>
                <w:rFonts w:cs="Arial"/>
              </w:rPr>
              <w:t xml:space="preserve">Data Exporter: </w:t>
            </w:r>
            <w:r w:rsidR="00522786">
              <w:rPr>
                <w:rFonts w:cs="Arial"/>
              </w:rPr>
              <w:t>[</w:t>
            </w:r>
            <w:r w:rsidR="00522786" w:rsidRPr="00522786">
              <w:rPr>
                <w:rFonts w:cs="Arial"/>
                <w:highlight w:val="yellow"/>
              </w:rPr>
              <w:t>COMPLETE</w:t>
            </w:r>
            <w:r w:rsidR="00522786">
              <w:rPr>
                <w:rFonts w:cs="Arial"/>
              </w:rPr>
              <w:t>]</w:t>
            </w:r>
            <w:r w:rsidRPr="004F3361">
              <w:rPr>
                <w:rFonts w:cs="Arial"/>
              </w:rPr>
              <w:t>.</w:t>
            </w:r>
          </w:p>
          <w:p w14:paraId="7DE3353D" w14:textId="739F30FA" w:rsidR="004F3361" w:rsidRPr="004F3361" w:rsidRDefault="004F3361" w:rsidP="00DE4733">
            <w:pPr>
              <w:jc w:val="both"/>
              <w:rPr>
                <w:rFonts w:cs="Arial"/>
              </w:rPr>
            </w:pPr>
            <w:r w:rsidRPr="004F3361">
              <w:rPr>
                <w:rFonts w:cs="Arial"/>
              </w:rPr>
              <w:t xml:space="preserve">Contact details: </w:t>
            </w:r>
            <w:r w:rsidR="00522786">
              <w:rPr>
                <w:rFonts w:cs="Arial"/>
              </w:rPr>
              <w:t>[</w:t>
            </w:r>
            <w:r w:rsidR="00522786" w:rsidRPr="00522786">
              <w:rPr>
                <w:rFonts w:cs="Arial"/>
                <w:highlight w:val="yellow"/>
              </w:rPr>
              <w:t>COMPLETE</w:t>
            </w:r>
            <w:r w:rsidR="00522786">
              <w:rPr>
                <w:rFonts w:cs="Arial"/>
              </w:rPr>
              <w:t>]</w:t>
            </w:r>
          </w:p>
          <w:p w14:paraId="107E5EB2" w14:textId="77777777" w:rsidR="004F3361" w:rsidRPr="004F3361" w:rsidRDefault="004F3361" w:rsidP="00DE4733">
            <w:pPr>
              <w:jc w:val="both"/>
              <w:rPr>
                <w:rFonts w:cs="Arial"/>
              </w:rPr>
            </w:pPr>
            <w:r w:rsidRPr="004F3361">
              <w:rPr>
                <w:rFonts w:cs="Arial"/>
              </w:rPr>
              <w:t>Signature and Date: By entering into the Agreement, Data Exporter is deemed to have signed these Standard Contractual Clauses incorporated herein, including their Annexes, as of the Effective Date of the Agreement.</w:t>
            </w:r>
          </w:p>
          <w:p w14:paraId="5B039E1E" w14:textId="26FCBF2A" w:rsidR="004F3361" w:rsidRPr="004F3361" w:rsidRDefault="004F3361" w:rsidP="00DE4733">
            <w:pPr>
              <w:jc w:val="both"/>
              <w:rPr>
                <w:rFonts w:cs="Arial"/>
              </w:rPr>
            </w:pPr>
            <w:r w:rsidRPr="004F3361">
              <w:rPr>
                <w:rFonts w:cs="Arial"/>
              </w:rPr>
              <w:t xml:space="preserve">Data Importer: </w:t>
            </w:r>
            <w:r w:rsidR="00522786">
              <w:rPr>
                <w:rFonts w:cs="Arial"/>
              </w:rPr>
              <w:t>[</w:t>
            </w:r>
            <w:r w:rsidR="00522786" w:rsidRPr="00522786">
              <w:rPr>
                <w:rFonts w:cs="Arial"/>
                <w:highlight w:val="yellow"/>
              </w:rPr>
              <w:t>COMPLETE</w:t>
            </w:r>
            <w:r w:rsidR="00522786">
              <w:rPr>
                <w:rFonts w:cs="Arial"/>
              </w:rPr>
              <w:t>]</w:t>
            </w:r>
          </w:p>
          <w:p w14:paraId="34D5BB5E" w14:textId="008064FE" w:rsidR="004F3361" w:rsidRPr="004F3361" w:rsidRDefault="004F3361" w:rsidP="00DE4733">
            <w:pPr>
              <w:pStyle w:val="ListParagraph"/>
              <w:ind w:left="0"/>
              <w:rPr>
                <w:rFonts w:ascii="Georgia" w:hAnsi="Georgia" w:cs="Arial"/>
              </w:rPr>
            </w:pPr>
            <w:r w:rsidRPr="004F3361">
              <w:rPr>
                <w:rFonts w:ascii="Georgia" w:hAnsi="Georgia" w:cs="Arial"/>
              </w:rPr>
              <w:t xml:space="preserve">Contact details: </w:t>
            </w:r>
            <w:r w:rsidR="00522786" w:rsidRPr="00522786">
              <w:rPr>
                <w:rFonts w:ascii="Georgia" w:hAnsi="Georgia" w:cs="Arial"/>
              </w:rPr>
              <w:t>[</w:t>
            </w:r>
            <w:r w:rsidR="00522786" w:rsidRPr="00522786">
              <w:rPr>
                <w:rFonts w:ascii="Georgia" w:hAnsi="Georgia" w:cs="Arial"/>
                <w:highlight w:val="yellow"/>
              </w:rPr>
              <w:t>COMPLETE</w:t>
            </w:r>
            <w:r w:rsidR="00522786" w:rsidRPr="00522786">
              <w:rPr>
                <w:rFonts w:ascii="Georgia" w:hAnsi="Georgia" w:cs="Arial"/>
              </w:rPr>
              <w:t>]</w:t>
            </w:r>
          </w:p>
        </w:tc>
      </w:tr>
      <w:tr w:rsidR="004F3361" w:rsidRPr="004F3361" w14:paraId="638D4827" w14:textId="77777777" w:rsidTr="00DE4733">
        <w:tc>
          <w:tcPr>
            <w:tcW w:w="735" w:type="pct"/>
          </w:tcPr>
          <w:p w14:paraId="3D1B3B30" w14:textId="77777777" w:rsidR="004F3361" w:rsidRPr="004F3361" w:rsidRDefault="004F3361" w:rsidP="00DE4733">
            <w:pPr>
              <w:pStyle w:val="ListParagraph"/>
              <w:ind w:left="0"/>
              <w:jc w:val="both"/>
              <w:rPr>
                <w:rFonts w:ascii="Georgia" w:hAnsi="Georgia" w:cs="Arial"/>
              </w:rPr>
            </w:pPr>
            <w:r w:rsidRPr="004F3361">
              <w:rPr>
                <w:rFonts w:ascii="Georgia" w:hAnsi="Georgia" w:cs="Arial"/>
              </w:rPr>
              <w:t>Annex I, Part B</w:t>
            </w:r>
          </w:p>
        </w:tc>
        <w:tc>
          <w:tcPr>
            <w:tcW w:w="4265" w:type="pct"/>
          </w:tcPr>
          <w:p w14:paraId="58BA842A" w14:textId="2BA2AF73" w:rsidR="004F3361" w:rsidRPr="004F3361" w:rsidRDefault="004F3361" w:rsidP="00DE4733">
            <w:pPr>
              <w:jc w:val="both"/>
              <w:rPr>
                <w:rFonts w:cs="Arial"/>
              </w:rPr>
            </w:pPr>
            <w:r w:rsidRPr="004F3361">
              <w:rPr>
                <w:rFonts w:cs="Arial"/>
              </w:rPr>
              <w:t xml:space="preserve">The categories of data subjects are described in </w:t>
            </w:r>
            <w:r w:rsidR="00522786">
              <w:rPr>
                <w:rFonts w:cs="Arial"/>
              </w:rPr>
              <w:t xml:space="preserve">the Article </w:t>
            </w:r>
            <w:r w:rsidR="00522786">
              <w:rPr>
                <w:rFonts w:cs="Arial"/>
              </w:rPr>
              <w:fldChar w:fldCharType="begin"/>
            </w:r>
            <w:r w:rsidR="00522786">
              <w:rPr>
                <w:rFonts w:cs="Arial"/>
              </w:rPr>
              <w:instrText xml:space="preserve"> REF _Ref151110578 \r \h </w:instrText>
            </w:r>
            <w:r w:rsidR="00522786">
              <w:rPr>
                <w:rFonts w:cs="Arial"/>
              </w:rPr>
            </w:r>
            <w:r w:rsidR="00522786">
              <w:rPr>
                <w:rFonts w:cs="Arial"/>
              </w:rPr>
              <w:fldChar w:fldCharType="separate"/>
            </w:r>
            <w:r w:rsidR="00522786">
              <w:rPr>
                <w:rFonts w:cs="Arial"/>
              </w:rPr>
              <w:t>1.1</w:t>
            </w:r>
            <w:r w:rsidR="00522786">
              <w:rPr>
                <w:rFonts w:cs="Arial"/>
              </w:rPr>
              <w:fldChar w:fldCharType="end"/>
            </w:r>
            <w:r w:rsidR="00522786">
              <w:rPr>
                <w:rFonts w:cs="Arial"/>
              </w:rPr>
              <w:t xml:space="preserve"> of this Addendum</w:t>
            </w:r>
            <w:r w:rsidRPr="004F3361">
              <w:rPr>
                <w:rFonts w:cs="Arial"/>
              </w:rPr>
              <w:t>.</w:t>
            </w:r>
          </w:p>
          <w:p w14:paraId="066D3666" w14:textId="792039BB" w:rsidR="004F3361" w:rsidRPr="004F3361" w:rsidRDefault="004F3361" w:rsidP="00DE4733">
            <w:pPr>
              <w:jc w:val="both"/>
              <w:rPr>
                <w:rFonts w:cs="Arial"/>
              </w:rPr>
            </w:pPr>
            <w:r w:rsidRPr="004F3361">
              <w:rPr>
                <w:rFonts w:cs="Arial"/>
              </w:rPr>
              <w:lastRenderedPageBreak/>
              <w:t xml:space="preserve">The Sensitive Data transferred is described </w:t>
            </w:r>
            <w:proofErr w:type="gramStart"/>
            <w:r w:rsidRPr="004F3361">
              <w:rPr>
                <w:rFonts w:cs="Arial"/>
              </w:rPr>
              <w:t xml:space="preserve">in </w:t>
            </w:r>
            <w:r w:rsidR="000249F2">
              <w:rPr>
                <w:rFonts w:cs="Arial"/>
              </w:rPr>
              <w:t xml:space="preserve"> </w:t>
            </w:r>
            <w:r w:rsidR="000249F2">
              <w:rPr>
                <w:rFonts w:cs="Arial"/>
              </w:rPr>
              <w:t>the</w:t>
            </w:r>
            <w:proofErr w:type="gramEnd"/>
            <w:r w:rsidR="000249F2">
              <w:rPr>
                <w:rFonts w:cs="Arial"/>
              </w:rPr>
              <w:t xml:space="preserve"> Article </w:t>
            </w:r>
            <w:r w:rsidR="000249F2">
              <w:rPr>
                <w:rFonts w:cs="Arial"/>
              </w:rPr>
              <w:fldChar w:fldCharType="begin"/>
            </w:r>
            <w:r w:rsidR="000249F2">
              <w:rPr>
                <w:rFonts w:cs="Arial"/>
              </w:rPr>
              <w:instrText xml:space="preserve"> REF _Ref151110578 \r \h </w:instrText>
            </w:r>
            <w:r w:rsidR="000249F2">
              <w:rPr>
                <w:rFonts w:cs="Arial"/>
              </w:rPr>
            </w:r>
            <w:r w:rsidR="000249F2">
              <w:rPr>
                <w:rFonts w:cs="Arial"/>
              </w:rPr>
              <w:fldChar w:fldCharType="separate"/>
            </w:r>
            <w:r w:rsidR="000249F2">
              <w:rPr>
                <w:rFonts w:cs="Arial"/>
              </w:rPr>
              <w:t>1.1</w:t>
            </w:r>
            <w:r w:rsidR="000249F2">
              <w:rPr>
                <w:rFonts w:cs="Arial"/>
              </w:rPr>
              <w:fldChar w:fldCharType="end"/>
            </w:r>
            <w:r w:rsidR="000249F2">
              <w:rPr>
                <w:rFonts w:cs="Arial"/>
              </w:rPr>
              <w:t xml:space="preserve"> of this Addendum</w:t>
            </w:r>
            <w:r w:rsidRPr="004F3361">
              <w:rPr>
                <w:rFonts w:cs="Arial"/>
              </w:rPr>
              <w:t>.</w:t>
            </w:r>
          </w:p>
          <w:p w14:paraId="26CC9330" w14:textId="77777777" w:rsidR="004F3361" w:rsidRPr="004F3361" w:rsidRDefault="004F3361" w:rsidP="00DE4733">
            <w:pPr>
              <w:jc w:val="both"/>
              <w:rPr>
                <w:rFonts w:cs="Arial"/>
              </w:rPr>
            </w:pPr>
            <w:r w:rsidRPr="004F3361">
              <w:rPr>
                <w:rFonts w:cs="Arial"/>
              </w:rPr>
              <w:t>The frequency of the transfer is a continuous basis for the duration of the Agreement.</w:t>
            </w:r>
          </w:p>
          <w:p w14:paraId="113771C1" w14:textId="1CF6AD30" w:rsidR="004F3361" w:rsidRPr="004F3361" w:rsidRDefault="004F3361" w:rsidP="00DE4733">
            <w:pPr>
              <w:jc w:val="both"/>
              <w:rPr>
                <w:rFonts w:cs="Arial"/>
              </w:rPr>
            </w:pPr>
            <w:r w:rsidRPr="004F3361">
              <w:rPr>
                <w:rFonts w:cs="Arial"/>
              </w:rPr>
              <w:t xml:space="preserve">The nature of the processing is described in </w:t>
            </w:r>
            <w:r w:rsidR="000249F2">
              <w:rPr>
                <w:rFonts w:cs="Arial"/>
              </w:rPr>
              <w:t>the Agreement</w:t>
            </w:r>
            <w:r w:rsidRPr="004F3361">
              <w:rPr>
                <w:rFonts w:cs="Arial"/>
              </w:rPr>
              <w:t>.</w:t>
            </w:r>
          </w:p>
          <w:p w14:paraId="1713C05F" w14:textId="6A85A45B" w:rsidR="004F3361" w:rsidRPr="004F3361" w:rsidRDefault="004F3361" w:rsidP="00DE4733">
            <w:pPr>
              <w:jc w:val="both"/>
              <w:rPr>
                <w:rFonts w:cs="Arial"/>
              </w:rPr>
            </w:pPr>
            <w:r w:rsidRPr="004F3361">
              <w:rPr>
                <w:rFonts w:cs="Arial"/>
              </w:rPr>
              <w:t xml:space="preserve">The purpose of the processing is described in </w:t>
            </w:r>
            <w:r w:rsidR="000249F2">
              <w:rPr>
                <w:rFonts w:cs="Arial"/>
              </w:rPr>
              <w:t>the Agreement</w:t>
            </w:r>
            <w:r w:rsidRPr="004F3361">
              <w:rPr>
                <w:rFonts w:cs="Arial"/>
              </w:rPr>
              <w:t>.</w:t>
            </w:r>
          </w:p>
          <w:p w14:paraId="6AF8BD91" w14:textId="30AAD6F9" w:rsidR="004F3361" w:rsidRPr="004F3361" w:rsidRDefault="004F3361" w:rsidP="00DE4733">
            <w:pPr>
              <w:jc w:val="both"/>
              <w:rPr>
                <w:rFonts w:cs="Arial"/>
              </w:rPr>
            </w:pPr>
            <w:r w:rsidRPr="004F3361">
              <w:rPr>
                <w:rFonts w:cs="Arial"/>
              </w:rPr>
              <w:t xml:space="preserve">The period for which the personal data will be retained </w:t>
            </w:r>
            <w:r w:rsidR="000249F2">
              <w:rPr>
                <w:rFonts w:cs="Arial"/>
              </w:rPr>
              <w:t>equals the duration of the Agreement</w:t>
            </w:r>
            <w:r w:rsidRPr="004F3361">
              <w:rPr>
                <w:rFonts w:cs="Arial"/>
              </w:rPr>
              <w:t>.</w:t>
            </w:r>
          </w:p>
        </w:tc>
      </w:tr>
      <w:tr w:rsidR="004F3361" w:rsidRPr="004F3361" w14:paraId="466575DD" w14:textId="77777777" w:rsidTr="00DE4733">
        <w:tc>
          <w:tcPr>
            <w:tcW w:w="735" w:type="pct"/>
          </w:tcPr>
          <w:p w14:paraId="3E15F056" w14:textId="77777777" w:rsidR="004F3361" w:rsidRPr="004F3361" w:rsidRDefault="004F3361" w:rsidP="00DE4733">
            <w:pPr>
              <w:pStyle w:val="ListParagraph"/>
              <w:ind w:left="0"/>
              <w:jc w:val="both"/>
              <w:rPr>
                <w:rFonts w:ascii="Georgia" w:hAnsi="Georgia" w:cs="Arial"/>
              </w:rPr>
            </w:pPr>
            <w:r w:rsidRPr="004F3361">
              <w:rPr>
                <w:rFonts w:ascii="Georgia" w:hAnsi="Georgia" w:cs="Arial"/>
              </w:rPr>
              <w:lastRenderedPageBreak/>
              <w:t>Annex I, Part C</w:t>
            </w:r>
          </w:p>
        </w:tc>
        <w:tc>
          <w:tcPr>
            <w:tcW w:w="4265" w:type="pct"/>
          </w:tcPr>
          <w:p w14:paraId="6AB1E9DB" w14:textId="77777777" w:rsidR="004F3361" w:rsidRPr="004F3361" w:rsidRDefault="004F3361" w:rsidP="00DE4733">
            <w:pPr>
              <w:jc w:val="both"/>
              <w:rPr>
                <w:rFonts w:cs="Arial"/>
              </w:rPr>
            </w:pPr>
            <w:r w:rsidRPr="004F3361">
              <w:rPr>
                <w:rFonts w:cs="Arial"/>
              </w:rPr>
              <w:t xml:space="preserve">The Commission Nationale de </w:t>
            </w:r>
            <w:proofErr w:type="spellStart"/>
            <w:r w:rsidRPr="004F3361">
              <w:rPr>
                <w:rFonts w:cs="Arial"/>
              </w:rPr>
              <w:t>l'Informatique</w:t>
            </w:r>
            <w:proofErr w:type="spellEnd"/>
            <w:r w:rsidRPr="004F3361">
              <w:rPr>
                <w:rFonts w:cs="Arial"/>
              </w:rPr>
              <w:t xml:space="preserve"> et des </w:t>
            </w:r>
            <w:proofErr w:type="spellStart"/>
            <w:r w:rsidRPr="004F3361">
              <w:rPr>
                <w:rFonts w:cs="Arial"/>
              </w:rPr>
              <w:t>Libertés</w:t>
            </w:r>
            <w:proofErr w:type="spellEnd"/>
            <w:r w:rsidRPr="004F3361">
              <w:rPr>
                <w:rFonts w:cs="Arial"/>
              </w:rPr>
              <w:t xml:space="preserve"> (CNIL) will be the competent supervisory authority.</w:t>
            </w:r>
          </w:p>
        </w:tc>
      </w:tr>
      <w:tr w:rsidR="004F3361" w:rsidRPr="004F3361" w14:paraId="5A1622F9" w14:textId="77777777" w:rsidTr="00DE4733">
        <w:tc>
          <w:tcPr>
            <w:tcW w:w="735" w:type="pct"/>
          </w:tcPr>
          <w:p w14:paraId="3D676A10" w14:textId="77777777" w:rsidR="004F3361" w:rsidRPr="004F3361" w:rsidRDefault="004F3361" w:rsidP="00DE4733">
            <w:pPr>
              <w:pStyle w:val="ListParagraph"/>
              <w:ind w:left="0"/>
              <w:jc w:val="both"/>
              <w:rPr>
                <w:rFonts w:ascii="Georgia" w:hAnsi="Georgia" w:cs="Arial"/>
              </w:rPr>
            </w:pPr>
            <w:r w:rsidRPr="004F3361">
              <w:rPr>
                <w:rFonts w:ascii="Georgia" w:hAnsi="Georgia" w:cs="Arial"/>
              </w:rPr>
              <w:t>Annex II</w:t>
            </w:r>
          </w:p>
        </w:tc>
        <w:tc>
          <w:tcPr>
            <w:tcW w:w="4265" w:type="pct"/>
          </w:tcPr>
          <w:p w14:paraId="435CCC4B" w14:textId="3FEE6B89" w:rsidR="004F3361" w:rsidRPr="004F3361" w:rsidRDefault="00CE32FE" w:rsidP="00DE4733">
            <w:pPr>
              <w:jc w:val="both"/>
              <w:rPr>
                <w:rFonts w:cs="Arial"/>
              </w:rPr>
            </w:pPr>
            <w:r>
              <w:rPr>
                <w:rFonts w:cs="Arial"/>
              </w:rPr>
              <w:t xml:space="preserve">Article </w:t>
            </w:r>
            <w:r>
              <w:rPr>
                <w:rFonts w:cs="Arial"/>
              </w:rPr>
              <w:fldChar w:fldCharType="begin"/>
            </w:r>
            <w:r>
              <w:rPr>
                <w:rFonts w:cs="Arial"/>
              </w:rPr>
              <w:instrText xml:space="preserve"> REF _Ref151111460 \r \h </w:instrText>
            </w:r>
            <w:r>
              <w:rPr>
                <w:rFonts w:cs="Arial"/>
              </w:rPr>
            </w:r>
            <w:r>
              <w:rPr>
                <w:rFonts w:cs="Arial"/>
              </w:rPr>
              <w:fldChar w:fldCharType="separate"/>
            </w:r>
            <w:r>
              <w:rPr>
                <w:rFonts w:cs="Arial"/>
              </w:rPr>
              <w:t>3</w:t>
            </w:r>
            <w:r>
              <w:rPr>
                <w:rFonts w:cs="Arial"/>
              </w:rPr>
              <w:fldChar w:fldCharType="end"/>
            </w:r>
            <w:r>
              <w:rPr>
                <w:rFonts w:cs="Arial"/>
              </w:rPr>
              <w:t xml:space="preserve"> “Security Measures”</w:t>
            </w:r>
            <w:r w:rsidR="004F3361" w:rsidRPr="004F3361">
              <w:rPr>
                <w:rFonts w:cs="Arial"/>
              </w:rPr>
              <w:t xml:space="preserve"> of this </w:t>
            </w:r>
            <w:r>
              <w:rPr>
                <w:rFonts w:cs="Arial"/>
              </w:rPr>
              <w:t>Addendum</w:t>
            </w:r>
            <w:r w:rsidR="004F3361" w:rsidRPr="004F3361">
              <w:rPr>
                <w:rFonts w:cs="Arial"/>
              </w:rPr>
              <w:t xml:space="preserve"> serves as Annex II</w:t>
            </w:r>
          </w:p>
        </w:tc>
      </w:tr>
    </w:tbl>
    <w:p w14:paraId="79916CB6" w14:textId="77777777" w:rsidR="004F3361" w:rsidRDefault="004F3361" w:rsidP="004F3361">
      <w:pPr>
        <w:pStyle w:val="BBBodyTextIndent1"/>
        <w:ind w:left="0"/>
        <w:jc w:val="left"/>
      </w:pPr>
    </w:p>
    <w:p w14:paraId="21C53F88" w14:textId="77777777" w:rsidR="004F3361" w:rsidRDefault="004F3361" w:rsidP="004F3361">
      <w:pPr>
        <w:pStyle w:val="BBBodyTextIndent1"/>
        <w:ind w:left="0"/>
        <w:jc w:val="left"/>
      </w:pPr>
    </w:p>
    <w:p w14:paraId="0607AE32" w14:textId="77777777" w:rsidR="004F3361" w:rsidRDefault="004F3361" w:rsidP="004F3361">
      <w:pPr>
        <w:pStyle w:val="BBBodyTextIndent1"/>
        <w:ind w:left="0"/>
        <w:jc w:val="left"/>
      </w:pPr>
    </w:p>
    <w:p w14:paraId="2BABDFD4" w14:textId="77777777" w:rsidR="004F3361" w:rsidRDefault="004F3361" w:rsidP="004F3361">
      <w:pPr>
        <w:pStyle w:val="BBBodyTextIndent1"/>
        <w:ind w:left="0"/>
        <w:jc w:val="left"/>
      </w:pPr>
    </w:p>
    <w:p w14:paraId="24AC0B6D" w14:textId="77777777" w:rsidR="004F3361" w:rsidRDefault="004F3361" w:rsidP="004F3361">
      <w:pPr>
        <w:pStyle w:val="BBBodyTextIndent1"/>
        <w:ind w:left="0"/>
        <w:jc w:val="left"/>
      </w:pPr>
    </w:p>
    <w:p w14:paraId="4D21D927" w14:textId="77777777" w:rsidR="004F3361" w:rsidRDefault="004F3361" w:rsidP="004F3361">
      <w:pPr>
        <w:pStyle w:val="BBBodyTextIndent1"/>
        <w:ind w:left="0"/>
        <w:jc w:val="left"/>
      </w:pPr>
    </w:p>
    <w:p w14:paraId="2CC115BE" w14:textId="77777777" w:rsidR="004F3361" w:rsidRDefault="004F3361" w:rsidP="004F3361">
      <w:pPr>
        <w:pStyle w:val="BBBodyTextIndent1"/>
        <w:ind w:left="0"/>
        <w:jc w:val="left"/>
      </w:pPr>
    </w:p>
    <w:p w14:paraId="74830D75" w14:textId="77777777" w:rsidR="004F3361" w:rsidRDefault="004F3361" w:rsidP="004F3361">
      <w:pPr>
        <w:pStyle w:val="BBBodyTextIndent1"/>
        <w:ind w:left="0"/>
        <w:jc w:val="left"/>
      </w:pPr>
    </w:p>
    <w:p w14:paraId="10C50CCB" w14:textId="77777777" w:rsidR="004F3361" w:rsidRDefault="004F3361" w:rsidP="004F3361">
      <w:pPr>
        <w:pStyle w:val="BBBodyTextIndent1"/>
        <w:ind w:left="0"/>
        <w:jc w:val="left"/>
      </w:pPr>
    </w:p>
    <w:p w14:paraId="7CBD5F68" w14:textId="77777777" w:rsidR="004F3361" w:rsidRDefault="004F3361" w:rsidP="004F3361">
      <w:pPr>
        <w:pStyle w:val="BBBodyTextIndent1"/>
        <w:ind w:left="0"/>
        <w:jc w:val="left"/>
      </w:pPr>
    </w:p>
    <w:p w14:paraId="60A6ADBB" w14:textId="157AFD8D" w:rsidR="004F3361" w:rsidRPr="004F3361" w:rsidRDefault="004F3361" w:rsidP="00CE32FE">
      <w:pPr>
        <w:pStyle w:val="BBBodyTextIndent1"/>
        <w:numPr>
          <w:ilvl w:val="1"/>
          <w:numId w:val="15"/>
        </w:numPr>
        <w:rPr>
          <w:b/>
          <w:bCs/>
          <w:u w:val="single"/>
        </w:rPr>
      </w:pPr>
      <w:r w:rsidRPr="004F3361">
        <w:rPr>
          <w:b/>
          <w:bCs/>
          <w:u w:val="single"/>
        </w:rPr>
        <w:t>Conflict.</w:t>
      </w:r>
      <w:r w:rsidRPr="004F3361">
        <w:rPr>
          <w:b/>
          <w:bCs/>
        </w:rPr>
        <w:t xml:space="preserve"> </w:t>
      </w:r>
      <w:r w:rsidRPr="004F3361">
        <w:t xml:space="preserve">To the extent there is any conflict between the Standard Contractual Clauses, and any other terms in this </w:t>
      </w:r>
      <w:r w:rsidR="00CE32FE">
        <w:t>Addendum</w:t>
      </w:r>
      <w:r w:rsidRPr="004F3361">
        <w:t>, the provisions of the Standard Contractual Clauses will prevail.</w:t>
      </w:r>
    </w:p>
    <w:p w14:paraId="118B8061" w14:textId="4B427DC8" w:rsidR="004F3361" w:rsidRPr="004F3361" w:rsidRDefault="004F3361" w:rsidP="00CE32FE">
      <w:pPr>
        <w:pStyle w:val="BBBodyTextIndent1"/>
        <w:numPr>
          <w:ilvl w:val="1"/>
          <w:numId w:val="15"/>
        </w:numPr>
        <w:rPr>
          <w:b/>
          <w:bCs/>
          <w:u w:val="single"/>
        </w:rPr>
      </w:pPr>
      <w:r w:rsidRPr="004F3361">
        <w:rPr>
          <w:b/>
          <w:bCs/>
          <w:u w:val="single"/>
        </w:rPr>
        <w:t>Binding corporate rules.</w:t>
      </w:r>
      <w:r w:rsidRPr="004F3361">
        <w:rPr>
          <w:b/>
          <w:bCs/>
        </w:rPr>
        <w:t xml:space="preserve"> </w:t>
      </w:r>
      <w:r w:rsidRPr="004F3361">
        <w:t>In case</w:t>
      </w:r>
      <w:r w:rsidRPr="004F3361">
        <w:rPr>
          <w:b/>
          <w:bCs/>
        </w:rPr>
        <w:t xml:space="preserve"> </w:t>
      </w:r>
      <w:r w:rsidRPr="004F3361">
        <w:t xml:space="preserve">the Supplier or Sub-Processor, as relevant, has in place binding corporate rules, it confirms that </w:t>
      </w:r>
      <w:proofErr w:type="gramStart"/>
      <w:r w:rsidRPr="004F3361">
        <w:t>all of</w:t>
      </w:r>
      <w:proofErr w:type="gramEnd"/>
      <w:r w:rsidRPr="004F3361">
        <w:t xml:space="preserve"> the Processing of </w:t>
      </w:r>
      <w:r w:rsidR="00CE32FE">
        <w:t>Individual</w:t>
      </w:r>
      <w:r w:rsidRPr="004F3361">
        <w:t xml:space="preserve"> Data is covered by the Supplier's or Sub-Processor's binding corporate rules, the terms of which are incorporated into these terms. The Supplier agrees that PPG, as </w:t>
      </w:r>
      <w:r w:rsidR="00CE32FE">
        <w:t>a data exporter</w:t>
      </w:r>
      <w:r w:rsidRPr="004F3361">
        <w:t xml:space="preserve">, has the right to enforce these binding corporate rules against the Supplier or Sub-Processor, as relevant, including a right to compensation </w:t>
      </w:r>
      <w:proofErr w:type="gramStart"/>
      <w:r w:rsidRPr="004F3361">
        <w:t>in the event that</w:t>
      </w:r>
      <w:proofErr w:type="gramEnd"/>
      <w:r w:rsidRPr="004F3361">
        <w:t xml:space="preserve"> the rules are breached.</w:t>
      </w:r>
    </w:p>
    <w:p w14:paraId="50777078" w14:textId="63573FDD" w:rsidR="004F3361" w:rsidRPr="00CE32FE" w:rsidRDefault="004F3361" w:rsidP="00CE32FE">
      <w:pPr>
        <w:pStyle w:val="BBBodyTextIndent1"/>
        <w:numPr>
          <w:ilvl w:val="1"/>
          <w:numId w:val="15"/>
        </w:numPr>
        <w:rPr>
          <w:b/>
          <w:bCs/>
          <w:u w:val="single"/>
        </w:rPr>
      </w:pPr>
      <w:r w:rsidRPr="004F3361">
        <w:rPr>
          <w:b/>
          <w:bCs/>
          <w:u w:val="single"/>
        </w:rPr>
        <w:t>Impact Assessments.</w:t>
      </w:r>
      <w:r w:rsidRPr="004F3361">
        <w:rPr>
          <w:b/>
          <w:bCs/>
        </w:rPr>
        <w:t xml:space="preserve"> </w:t>
      </w:r>
      <w:r w:rsidRPr="004F3361">
        <w:t xml:space="preserve">Supplier shall assist PPG in conducting privacy impact assessments of any Processing operations and consulting with supervisory authorities, </w:t>
      </w:r>
      <w:r w:rsidR="00D83CF1">
        <w:t>d</w:t>
      </w:r>
      <w:r w:rsidRPr="004F3361">
        <w:t xml:space="preserve">ata </w:t>
      </w:r>
      <w:r w:rsidR="00D83CF1">
        <w:t>s</w:t>
      </w:r>
      <w:r w:rsidRPr="004F3361">
        <w:t>ubjects and their representatives accordingly.</w:t>
      </w:r>
    </w:p>
    <w:sectPr w:rsidR="004F3361" w:rsidRPr="00CE32F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4AFB" w14:textId="77777777" w:rsidR="009F202C" w:rsidRDefault="009F202C" w:rsidP="009F202C">
      <w:pPr>
        <w:spacing w:after="0"/>
      </w:pPr>
      <w:r>
        <w:separator/>
      </w:r>
    </w:p>
  </w:endnote>
  <w:endnote w:type="continuationSeparator" w:id="0">
    <w:p w14:paraId="504DAA60" w14:textId="77777777" w:rsidR="009F202C" w:rsidRDefault="009F202C" w:rsidP="009F20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434165"/>
      <w:docPartObj>
        <w:docPartGallery w:val="Page Numbers (Bottom of Page)"/>
        <w:docPartUnique/>
      </w:docPartObj>
    </w:sdtPr>
    <w:sdtEndPr>
      <w:rPr>
        <w:noProof/>
      </w:rPr>
    </w:sdtEndPr>
    <w:sdtContent>
      <w:p w14:paraId="0165FF7C" w14:textId="6C1C30B8" w:rsidR="00CE32FE" w:rsidRDefault="00CE32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D1F073" w14:textId="77777777" w:rsidR="00CE32FE" w:rsidRDefault="00CE3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B11C" w14:textId="77777777" w:rsidR="009F202C" w:rsidRDefault="009F202C" w:rsidP="009F202C">
      <w:pPr>
        <w:spacing w:after="0"/>
      </w:pPr>
      <w:r>
        <w:separator/>
      </w:r>
    </w:p>
  </w:footnote>
  <w:footnote w:type="continuationSeparator" w:id="0">
    <w:p w14:paraId="5F1ED7F0" w14:textId="77777777" w:rsidR="009F202C" w:rsidRDefault="009F202C" w:rsidP="009F20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7F88" w14:textId="4654F7E9" w:rsidR="00CE32FE" w:rsidRDefault="00CE32FE">
    <w:pPr>
      <w:pStyle w:val="Header"/>
      <w:jc w:val="center"/>
    </w:pPr>
  </w:p>
  <w:p w14:paraId="62B19744" w14:textId="77777777" w:rsidR="00CE32FE" w:rsidRDefault="00CE3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lvl>
    <w:lvl w:ilvl="1">
      <w:start w:val="1"/>
      <w:numFmt w:val="decimal"/>
      <w:pStyle w:val="BBSchedule2"/>
      <w:lvlText w:val="%1.%2"/>
      <w:lvlJc w:val="left"/>
      <w:pPr>
        <w:tabs>
          <w:tab w:val="num" w:pos="720"/>
        </w:tabs>
        <w:ind w:left="720" w:hanging="720"/>
      </w:pPr>
    </w:lvl>
    <w:lvl w:ilvl="2">
      <w:start w:val="1"/>
      <w:numFmt w:val="lowerLetter"/>
      <w:pStyle w:val="BBSchedule3"/>
      <w:lvlText w:val="(%3)"/>
      <w:lvlJc w:val="left"/>
      <w:pPr>
        <w:tabs>
          <w:tab w:val="num" w:pos="1440"/>
        </w:tabs>
        <w:ind w:left="1440" w:hanging="720"/>
      </w:pPr>
    </w:lvl>
    <w:lvl w:ilvl="3">
      <w:start w:val="1"/>
      <w:numFmt w:val="lowerRoman"/>
      <w:pStyle w:val="BBSchedule4"/>
      <w:lvlText w:val="(%4)"/>
      <w:lvlJc w:val="left"/>
      <w:pPr>
        <w:tabs>
          <w:tab w:val="num" w:pos="2160"/>
        </w:tabs>
        <w:ind w:left="2160" w:hanging="720"/>
      </w:pPr>
    </w:lvl>
    <w:lvl w:ilvl="4">
      <w:start w:val="1"/>
      <w:numFmt w:val="upperLetter"/>
      <w:pStyle w:val="BBSchedule5"/>
      <w:lvlText w:val="(%5)"/>
      <w:lvlJc w:val="left"/>
      <w:pPr>
        <w:tabs>
          <w:tab w:val="num" w:pos="2880"/>
        </w:tabs>
        <w:ind w:left="2880" w:hanging="720"/>
      </w:pPr>
    </w:lvl>
    <w:lvl w:ilvl="5">
      <w:start w:val="1"/>
      <w:numFmt w:val="upperRoman"/>
      <w:pStyle w:val="BBSchedule6"/>
      <w:lvlText w:val="(%6)"/>
      <w:lvlJc w:val="left"/>
      <w:pPr>
        <w:tabs>
          <w:tab w:val="num" w:pos="3600"/>
        </w:tabs>
        <w:ind w:left="3600" w:hanging="720"/>
      </w:pPr>
    </w:lvl>
    <w:lvl w:ilvl="6">
      <w:start w:val="1"/>
      <w:numFmt w:val="lowerLetter"/>
      <w:pStyle w:val="BBSchedule7"/>
      <w:lvlText w:val="(%7)"/>
      <w:lvlJc w:val="left"/>
      <w:pPr>
        <w:tabs>
          <w:tab w:val="num" w:pos="4321"/>
        </w:tabs>
        <w:ind w:left="4321" w:hanging="721"/>
      </w:pPr>
    </w:lvl>
    <w:lvl w:ilvl="7">
      <w:start w:val="1"/>
      <w:numFmt w:val="lowerRoman"/>
      <w:pStyle w:val="BBSchedule8"/>
      <w:lvlText w:val="(%8)"/>
      <w:lvlJc w:val="left"/>
      <w:pPr>
        <w:tabs>
          <w:tab w:val="num" w:pos="5041"/>
        </w:tabs>
        <w:ind w:left="5041" w:hanging="720"/>
      </w:pPr>
    </w:lvl>
    <w:lvl w:ilvl="8">
      <w:start w:val="1"/>
      <w:numFmt w:val="lowerRoman"/>
      <w:pStyle w:val="BBSchedule9"/>
      <w:lvlText w:val="%9."/>
      <w:lvlJc w:val="left"/>
      <w:pPr>
        <w:tabs>
          <w:tab w:val="num" w:pos="5761"/>
        </w:tabs>
        <w:ind w:left="5761" w:hanging="720"/>
      </w:pPr>
    </w:lvl>
  </w:abstractNum>
  <w:abstractNum w:abstractNumId="1" w15:restartNumberingAfterBreak="0">
    <w:nsid w:val="045A1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2A17EA"/>
    <w:multiLevelType w:val="hybridMultilevel"/>
    <w:tmpl w:val="59604180"/>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157D0A1E"/>
    <w:multiLevelType w:val="multilevel"/>
    <w:tmpl w:val="FC74752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0E0C0C"/>
    <w:multiLevelType w:val="hybridMultilevel"/>
    <w:tmpl w:val="C4E63E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5D22EE9"/>
    <w:multiLevelType w:val="hybridMultilevel"/>
    <w:tmpl w:val="D5A24ECA"/>
    <w:lvl w:ilvl="0" w:tplc="0809001B">
      <w:start w:val="1"/>
      <w:numFmt w:val="lowerRoman"/>
      <w:lvlText w:val="%1."/>
      <w:lvlJc w:val="right"/>
      <w:pPr>
        <w:ind w:left="3933" w:hanging="360"/>
      </w:pPr>
    </w:lvl>
    <w:lvl w:ilvl="1" w:tplc="08090019">
      <w:start w:val="1"/>
      <w:numFmt w:val="lowerLetter"/>
      <w:lvlText w:val="%2."/>
      <w:lvlJc w:val="left"/>
      <w:pPr>
        <w:ind w:left="4653" w:hanging="360"/>
      </w:pPr>
    </w:lvl>
    <w:lvl w:ilvl="2" w:tplc="0809001B">
      <w:start w:val="1"/>
      <w:numFmt w:val="lowerRoman"/>
      <w:lvlText w:val="%3."/>
      <w:lvlJc w:val="right"/>
      <w:pPr>
        <w:ind w:left="5373" w:hanging="180"/>
      </w:pPr>
    </w:lvl>
    <w:lvl w:ilvl="3" w:tplc="0809000F">
      <w:start w:val="1"/>
      <w:numFmt w:val="decimal"/>
      <w:lvlText w:val="%4."/>
      <w:lvlJc w:val="left"/>
      <w:pPr>
        <w:ind w:left="6093" w:hanging="360"/>
      </w:pPr>
    </w:lvl>
    <w:lvl w:ilvl="4" w:tplc="08090019">
      <w:start w:val="1"/>
      <w:numFmt w:val="lowerLetter"/>
      <w:lvlText w:val="%5."/>
      <w:lvlJc w:val="left"/>
      <w:pPr>
        <w:ind w:left="6813" w:hanging="360"/>
      </w:pPr>
    </w:lvl>
    <w:lvl w:ilvl="5" w:tplc="0809001B">
      <w:start w:val="1"/>
      <w:numFmt w:val="lowerRoman"/>
      <w:lvlText w:val="%6."/>
      <w:lvlJc w:val="right"/>
      <w:pPr>
        <w:ind w:left="7533" w:hanging="180"/>
      </w:pPr>
    </w:lvl>
    <w:lvl w:ilvl="6" w:tplc="0809000F">
      <w:start w:val="1"/>
      <w:numFmt w:val="decimal"/>
      <w:lvlText w:val="%7."/>
      <w:lvlJc w:val="left"/>
      <w:pPr>
        <w:ind w:left="8253" w:hanging="360"/>
      </w:pPr>
    </w:lvl>
    <w:lvl w:ilvl="7" w:tplc="08090019">
      <w:start w:val="1"/>
      <w:numFmt w:val="lowerLetter"/>
      <w:lvlText w:val="%8."/>
      <w:lvlJc w:val="left"/>
      <w:pPr>
        <w:ind w:left="8973" w:hanging="360"/>
      </w:pPr>
    </w:lvl>
    <w:lvl w:ilvl="8" w:tplc="0809001B">
      <w:start w:val="1"/>
      <w:numFmt w:val="lowerRoman"/>
      <w:lvlText w:val="%9."/>
      <w:lvlJc w:val="right"/>
      <w:pPr>
        <w:ind w:left="9693" w:hanging="180"/>
      </w:pPr>
    </w:lvl>
  </w:abstractNum>
  <w:abstractNum w:abstractNumId="6" w15:restartNumberingAfterBreak="0">
    <w:nsid w:val="29462D1A"/>
    <w:multiLevelType w:val="hybridMultilevel"/>
    <w:tmpl w:val="EA72C1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1195923"/>
    <w:multiLevelType w:val="hybridMultilevel"/>
    <w:tmpl w:val="452C2B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C2C365B"/>
    <w:multiLevelType w:val="multilevel"/>
    <w:tmpl w:val="2D08F10E"/>
    <w:styleLink w:val="NumberingMain"/>
    <w:lvl w:ilvl="0">
      <w:start w:val="1"/>
      <w:numFmt w:val="decimal"/>
      <w:pStyle w:val="BBHeading1"/>
      <w:lvlText w:val="%1."/>
      <w:lvlJc w:val="left"/>
      <w:pPr>
        <w:ind w:left="720" w:hanging="720"/>
      </w:pPr>
    </w:lvl>
    <w:lvl w:ilvl="1">
      <w:start w:val="1"/>
      <w:numFmt w:val="decimal"/>
      <w:pStyle w:val="BBClause2"/>
      <w:lvlText w:val="%1.%2"/>
      <w:lvlJc w:val="left"/>
      <w:pPr>
        <w:ind w:left="720" w:hanging="720"/>
      </w:pPr>
    </w:lvl>
    <w:lvl w:ilvl="2">
      <w:start w:val="1"/>
      <w:numFmt w:val="decimal"/>
      <w:pStyle w:val="BBClause3"/>
      <w:lvlText w:val="%1.%2.%3"/>
      <w:lvlJc w:val="left"/>
      <w:pPr>
        <w:tabs>
          <w:tab w:val="num" w:pos="1622"/>
        </w:tabs>
        <w:ind w:left="1622" w:hanging="902"/>
      </w:pPr>
    </w:lvl>
    <w:lvl w:ilvl="3">
      <w:start w:val="1"/>
      <w:numFmt w:val="decimal"/>
      <w:pStyle w:val="BBClause4"/>
      <w:lvlText w:val="%1.%2.%3.%4"/>
      <w:lvlJc w:val="left"/>
      <w:pPr>
        <w:tabs>
          <w:tab w:val="num" w:pos="2699"/>
        </w:tabs>
        <w:ind w:left="2699" w:hanging="1077"/>
      </w:pPr>
    </w:lvl>
    <w:lvl w:ilvl="4">
      <w:start w:val="1"/>
      <w:numFmt w:val="lowerLetter"/>
      <w:pStyle w:val="BBClause5"/>
      <w:lvlText w:val="(%5)"/>
      <w:lvlJc w:val="left"/>
      <w:pPr>
        <w:tabs>
          <w:tab w:val="num" w:pos="2699"/>
        </w:tabs>
        <w:ind w:left="2699" w:hanging="1077"/>
      </w:pPr>
    </w:lvl>
    <w:lvl w:ilvl="5">
      <w:start w:val="1"/>
      <w:numFmt w:val="lowerRoman"/>
      <w:pStyle w:val="BBClause6"/>
      <w:lvlText w:val="(%6)"/>
      <w:lvlJc w:val="left"/>
      <w:pPr>
        <w:tabs>
          <w:tab w:val="num" w:pos="3238"/>
        </w:tabs>
        <w:ind w:left="3238" w:hanging="539"/>
      </w:pPr>
    </w:lvl>
    <w:lvl w:ilvl="6">
      <w:start w:val="1"/>
      <w:numFmt w:val="upperLetter"/>
      <w:pStyle w:val="BBClause7"/>
      <w:lvlText w:val="(%7)"/>
      <w:lvlJc w:val="left"/>
      <w:pPr>
        <w:tabs>
          <w:tab w:val="num" w:pos="3912"/>
        </w:tabs>
        <w:ind w:left="3912" w:hanging="674"/>
      </w:pPr>
    </w:lvl>
    <w:lvl w:ilvl="7">
      <w:start w:val="1"/>
      <w:numFmt w:val="upperRoman"/>
      <w:pStyle w:val="BBClause8"/>
      <w:lvlText w:val="(%8)"/>
      <w:lvlJc w:val="left"/>
      <w:pPr>
        <w:tabs>
          <w:tab w:val="num" w:pos="4587"/>
        </w:tabs>
        <w:ind w:left="4587" w:hanging="675"/>
      </w:pPr>
    </w:lvl>
    <w:lvl w:ilvl="8">
      <w:start w:val="1"/>
      <w:numFmt w:val="lowerRoman"/>
      <w:pStyle w:val="BBClause9"/>
      <w:lvlText w:val="%9."/>
      <w:lvlJc w:val="left"/>
      <w:pPr>
        <w:tabs>
          <w:tab w:val="num" w:pos="5262"/>
        </w:tabs>
        <w:ind w:left="5262" w:hanging="675"/>
      </w:pPr>
    </w:lvl>
  </w:abstractNum>
  <w:abstractNum w:abstractNumId="9" w15:restartNumberingAfterBreak="0">
    <w:nsid w:val="40D3315A"/>
    <w:multiLevelType w:val="hybridMultilevel"/>
    <w:tmpl w:val="F72E4C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1121C39"/>
    <w:multiLevelType w:val="multilevel"/>
    <w:tmpl w:val="868AD8D0"/>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1A1524B"/>
    <w:multiLevelType w:val="hybridMultilevel"/>
    <w:tmpl w:val="9D9862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2955440"/>
    <w:multiLevelType w:val="multilevel"/>
    <w:tmpl w:val="BE6CE19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6B6C25"/>
    <w:multiLevelType w:val="hybridMultilevel"/>
    <w:tmpl w:val="514068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DA21D03"/>
    <w:multiLevelType w:val="hybridMultilevel"/>
    <w:tmpl w:val="3FFCF57A"/>
    <w:lvl w:ilvl="0" w:tplc="33AA5DA4">
      <w:start w:val="3"/>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191838197">
    <w:abstractNumId w:val="8"/>
  </w:num>
  <w:num w:numId="2" w16cid:durableId="1459228387">
    <w:abstractNumId w:val="0"/>
  </w:num>
  <w:num w:numId="3" w16cid:durableId="1062338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139535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5590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5655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521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8795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47913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03715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901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09772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5360679">
    <w:abstractNumId w:val="10"/>
  </w:num>
  <w:num w:numId="14" w16cid:durableId="90055912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2303723">
    <w:abstractNumId w:val="3"/>
  </w:num>
  <w:num w:numId="16" w16cid:durableId="1222517041">
    <w:abstractNumId w:val="1"/>
  </w:num>
  <w:num w:numId="17" w16cid:durableId="21022124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711"/>
    <w:rsid w:val="000249F2"/>
    <w:rsid w:val="00064C67"/>
    <w:rsid w:val="002F36A6"/>
    <w:rsid w:val="004343B2"/>
    <w:rsid w:val="004E1A6C"/>
    <w:rsid w:val="004F3361"/>
    <w:rsid w:val="00522786"/>
    <w:rsid w:val="005D10AB"/>
    <w:rsid w:val="005F5711"/>
    <w:rsid w:val="008747B6"/>
    <w:rsid w:val="009F202C"/>
    <w:rsid w:val="00A164DF"/>
    <w:rsid w:val="00AA5783"/>
    <w:rsid w:val="00B32A85"/>
    <w:rsid w:val="00B32E93"/>
    <w:rsid w:val="00B63CCB"/>
    <w:rsid w:val="00BD1D1C"/>
    <w:rsid w:val="00BF7CA1"/>
    <w:rsid w:val="00C677E0"/>
    <w:rsid w:val="00CE32FE"/>
    <w:rsid w:val="00D75858"/>
    <w:rsid w:val="00D83CF1"/>
    <w:rsid w:val="00EB3C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E8CBD"/>
  <w15:chartTrackingRefBased/>
  <w15:docId w15:val="{3394C57E-66B7-4191-ACD4-F36B48B2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711"/>
    <w:pPr>
      <w:spacing w:after="240" w:line="240" w:lineRule="auto"/>
    </w:pPr>
    <w:rPr>
      <w:rFonts w:ascii="Georgia" w:hAnsi="Georgia"/>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amp;B Body Text Char"/>
    <w:basedOn w:val="DefaultParagraphFont"/>
    <w:link w:val="BodyText"/>
    <w:semiHidden/>
    <w:locked/>
    <w:rsid w:val="005F5711"/>
    <w:rPr>
      <w:rFonts w:ascii="Georgia" w:hAnsi="Georgia" w:cs="Times New Roman"/>
    </w:rPr>
  </w:style>
  <w:style w:type="paragraph" w:styleId="BodyText">
    <w:name w:val="Body Text"/>
    <w:aliases w:val="B&amp;B Body Text"/>
    <w:basedOn w:val="Normal"/>
    <w:link w:val="BodyTextChar"/>
    <w:semiHidden/>
    <w:unhideWhenUsed/>
    <w:rsid w:val="005F5711"/>
    <w:pPr>
      <w:jc w:val="both"/>
    </w:pPr>
    <w:rPr>
      <w:rFonts w:cs="Times New Roman"/>
      <w:szCs w:val="22"/>
      <w:lang w:val="es-ES"/>
    </w:rPr>
  </w:style>
  <w:style w:type="character" w:customStyle="1" w:styleId="BodyTextChar1">
    <w:name w:val="Body Text Char1"/>
    <w:basedOn w:val="DefaultParagraphFont"/>
    <w:uiPriority w:val="99"/>
    <w:semiHidden/>
    <w:rsid w:val="005F5711"/>
    <w:rPr>
      <w:rFonts w:ascii="Georgia" w:hAnsi="Georgia"/>
      <w:szCs w:val="20"/>
      <w:lang w:val="en-GB"/>
    </w:rPr>
  </w:style>
  <w:style w:type="paragraph" w:customStyle="1" w:styleId="BBBodyTextIndent1">
    <w:name w:val="B&amp;B Body Text Indent 1"/>
    <w:basedOn w:val="Normal"/>
    <w:uiPriority w:val="19"/>
    <w:rsid w:val="005F5711"/>
    <w:pPr>
      <w:ind w:left="720"/>
      <w:jc w:val="both"/>
    </w:pPr>
    <w:rPr>
      <w:rFonts w:cs="Times New Roman"/>
    </w:rPr>
  </w:style>
  <w:style w:type="paragraph" w:customStyle="1" w:styleId="BBHeading1">
    <w:name w:val="B&amp;B Heading 1"/>
    <w:basedOn w:val="BodyText"/>
    <w:next w:val="BBBodyTextIndent1"/>
    <w:uiPriority w:val="9"/>
    <w:qFormat/>
    <w:rsid w:val="005F5711"/>
    <w:pPr>
      <w:keepNext/>
      <w:numPr>
        <w:numId w:val="1"/>
      </w:numPr>
      <w:tabs>
        <w:tab w:val="num" w:pos="360"/>
      </w:tabs>
      <w:ind w:left="0" w:firstLine="0"/>
      <w:outlineLvl w:val="0"/>
    </w:pPr>
    <w:rPr>
      <w:b/>
      <w:caps/>
    </w:rPr>
  </w:style>
  <w:style w:type="paragraph" w:customStyle="1" w:styleId="BBClause2">
    <w:name w:val="B&amp;B Clause 2"/>
    <w:basedOn w:val="BodyText"/>
    <w:uiPriority w:val="29"/>
    <w:qFormat/>
    <w:rsid w:val="005F5711"/>
    <w:pPr>
      <w:numPr>
        <w:ilvl w:val="1"/>
        <w:numId w:val="1"/>
      </w:numPr>
      <w:tabs>
        <w:tab w:val="num" w:pos="360"/>
      </w:tabs>
      <w:ind w:left="0" w:firstLine="0"/>
    </w:pPr>
  </w:style>
  <w:style w:type="paragraph" w:customStyle="1" w:styleId="BBClause3">
    <w:name w:val="B&amp;B Clause 3"/>
    <w:basedOn w:val="BodyText"/>
    <w:uiPriority w:val="29"/>
    <w:qFormat/>
    <w:rsid w:val="005F5711"/>
    <w:pPr>
      <w:numPr>
        <w:ilvl w:val="2"/>
        <w:numId w:val="1"/>
      </w:numPr>
      <w:tabs>
        <w:tab w:val="clear" w:pos="1622"/>
        <w:tab w:val="num" w:pos="360"/>
      </w:tabs>
      <w:ind w:left="0" w:firstLine="0"/>
    </w:pPr>
  </w:style>
  <w:style w:type="paragraph" w:customStyle="1" w:styleId="BBClause4">
    <w:name w:val="B&amp;B Clause 4"/>
    <w:basedOn w:val="BodyText"/>
    <w:uiPriority w:val="29"/>
    <w:qFormat/>
    <w:rsid w:val="005F5711"/>
    <w:pPr>
      <w:numPr>
        <w:ilvl w:val="3"/>
        <w:numId w:val="1"/>
      </w:numPr>
      <w:tabs>
        <w:tab w:val="clear" w:pos="2699"/>
        <w:tab w:val="num" w:pos="360"/>
      </w:tabs>
      <w:ind w:left="0" w:firstLine="0"/>
    </w:pPr>
  </w:style>
  <w:style w:type="paragraph" w:customStyle="1" w:styleId="BBClause5">
    <w:name w:val="B&amp;B Clause 5"/>
    <w:basedOn w:val="BodyText"/>
    <w:uiPriority w:val="29"/>
    <w:rsid w:val="005F5711"/>
    <w:pPr>
      <w:numPr>
        <w:ilvl w:val="4"/>
        <w:numId w:val="1"/>
      </w:numPr>
      <w:tabs>
        <w:tab w:val="clear" w:pos="2699"/>
        <w:tab w:val="num" w:pos="360"/>
      </w:tabs>
      <w:ind w:left="0" w:firstLine="0"/>
    </w:pPr>
  </w:style>
  <w:style w:type="paragraph" w:customStyle="1" w:styleId="BBClause6">
    <w:name w:val="B&amp;B Clause 6"/>
    <w:basedOn w:val="BodyText"/>
    <w:uiPriority w:val="29"/>
    <w:rsid w:val="005F5711"/>
    <w:pPr>
      <w:numPr>
        <w:ilvl w:val="5"/>
        <w:numId w:val="1"/>
      </w:numPr>
      <w:tabs>
        <w:tab w:val="clear" w:pos="3238"/>
        <w:tab w:val="num" w:pos="360"/>
      </w:tabs>
      <w:ind w:left="0" w:firstLine="0"/>
    </w:pPr>
  </w:style>
  <w:style w:type="paragraph" w:customStyle="1" w:styleId="BBClause7">
    <w:name w:val="B&amp;B Clause 7"/>
    <w:basedOn w:val="BodyText"/>
    <w:uiPriority w:val="29"/>
    <w:rsid w:val="005F5711"/>
    <w:pPr>
      <w:numPr>
        <w:ilvl w:val="6"/>
        <w:numId w:val="1"/>
      </w:numPr>
      <w:tabs>
        <w:tab w:val="clear" w:pos="3912"/>
        <w:tab w:val="num" w:pos="360"/>
      </w:tabs>
      <w:ind w:left="0" w:firstLine="0"/>
    </w:pPr>
  </w:style>
  <w:style w:type="paragraph" w:customStyle="1" w:styleId="BBClause8">
    <w:name w:val="B&amp;B Clause 8"/>
    <w:basedOn w:val="BodyText"/>
    <w:uiPriority w:val="29"/>
    <w:rsid w:val="005F5711"/>
    <w:pPr>
      <w:numPr>
        <w:ilvl w:val="7"/>
        <w:numId w:val="1"/>
      </w:numPr>
      <w:tabs>
        <w:tab w:val="clear" w:pos="4587"/>
        <w:tab w:val="num" w:pos="360"/>
      </w:tabs>
      <w:ind w:left="0" w:firstLine="0"/>
    </w:pPr>
  </w:style>
  <w:style w:type="paragraph" w:customStyle="1" w:styleId="BBClause9">
    <w:name w:val="B&amp;B Clause 9"/>
    <w:basedOn w:val="BodyText"/>
    <w:uiPriority w:val="29"/>
    <w:rsid w:val="005F5711"/>
    <w:pPr>
      <w:numPr>
        <w:ilvl w:val="8"/>
        <w:numId w:val="1"/>
      </w:numPr>
      <w:tabs>
        <w:tab w:val="clear" w:pos="5262"/>
        <w:tab w:val="num" w:pos="360"/>
      </w:tabs>
      <w:ind w:left="0" w:firstLine="0"/>
    </w:pPr>
  </w:style>
  <w:style w:type="paragraph" w:customStyle="1" w:styleId="BBScheduleHeading1">
    <w:name w:val="B&amp;B Schedule Heading 1"/>
    <w:basedOn w:val="BodyText"/>
    <w:next w:val="BBBodyTextIndent1"/>
    <w:uiPriority w:val="49"/>
    <w:rsid w:val="005F5711"/>
    <w:pPr>
      <w:keepNext/>
      <w:numPr>
        <w:numId w:val="2"/>
      </w:numPr>
      <w:tabs>
        <w:tab w:val="clear" w:pos="720"/>
        <w:tab w:val="num" w:pos="360"/>
      </w:tabs>
      <w:spacing w:before="120"/>
      <w:ind w:left="0" w:firstLine="0"/>
      <w:outlineLvl w:val="0"/>
    </w:pPr>
    <w:rPr>
      <w:b/>
    </w:rPr>
  </w:style>
  <w:style w:type="paragraph" w:customStyle="1" w:styleId="BBSchedule1">
    <w:name w:val="B&amp;B Schedule 1"/>
    <w:basedOn w:val="BBScheduleHeading1"/>
    <w:uiPriority w:val="59"/>
    <w:rsid w:val="005F5711"/>
    <w:pPr>
      <w:keepNext w:val="0"/>
    </w:pPr>
    <w:rPr>
      <w:b w:val="0"/>
    </w:rPr>
  </w:style>
  <w:style w:type="paragraph" w:customStyle="1" w:styleId="BBSchedule2">
    <w:name w:val="B&amp;B Schedule 2"/>
    <w:basedOn w:val="BodyText"/>
    <w:uiPriority w:val="59"/>
    <w:rsid w:val="005F5711"/>
    <w:pPr>
      <w:numPr>
        <w:ilvl w:val="1"/>
        <w:numId w:val="2"/>
      </w:numPr>
      <w:tabs>
        <w:tab w:val="clear" w:pos="720"/>
        <w:tab w:val="num" w:pos="360"/>
      </w:tabs>
      <w:ind w:left="0" w:firstLine="0"/>
    </w:pPr>
  </w:style>
  <w:style w:type="paragraph" w:customStyle="1" w:styleId="BBSchedule3">
    <w:name w:val="B&amp;B Schedule 3"/>
    <w:basedOn w:val="BodyText"/>
    <w:uiPriority w:val="59"/>
    <w:rsid w:val="005F5711"/>
    <w:pPr>
      <w:numPr>
        <w:ilvl w:val="2"/>
        <w:numId w:val="2"/>
      </w:numPr>
      <w:tabs>
        <w:tab w:val="clear" w:pos="1440"/>
        <w:tab w:val="num" w:pos="360"/>
      </w:tabs>
      <w:ind w:left="0" w:firstLine="0"/>
    </w:pPr>
  </w:style>
  <w:style w:type="paragraph" w:customStyle="1" w:styleId="BBSchedule4">
    <w:name w:val="B&amp;B Schedule 4"/>
    <w:basedOn w:val="BodyText"/>
    <w:uiPriority w:val="59"/>
    <w:rsid w:val="005F5711"/>
    <w:pPr>
      <w:numPr>
        <w:ilvl w:val="3"/>
        <w:numId w:val="2"/>
      </w:numPr>
      <w:tabs>
        <w:tab w:val="clear" w:pos="2160"/>
        <w:tab w:val="num" w:pos="360"/>
      </w:tabs>
      <w:ind w:left="0" w:firstLine="0"/>
    </w:pPr>
  </w:style>
  <w:style w:type="paragraph" w:customStyle="1" w:styleId="BBSchedule5">
    <w:name w:val="B&amp;B Schedule 5"/>
    <w:basedOn w:val="BodyText"/>
    <w:uiPriority w:val="59"/>
    <w:rsid w:val="005F5711"/>
    <w:pPr>
      <w:numPr>
        <w:ilvl w:val="4"/>
        <w:numId w:val="2"/>
      </w:numPr>
      <w:tabs>
        <w:tab w:val="clear" w:pos="2880"/>
        <w:tab w:val="num" w:pos="360"/>
      </w:tabs>
      <w:ind w:left="0" w:firstLine="0"/>
    </w:pPr>
  </w:style>
  <w:style w:type="paragraph" w:customStyle="1" w:styleId="BBSchedule6">
    <w:name w:val="B&amp;B Schedule 6"/>
    <w:basedOn w:val="BodyText"/>
    <w:uiPriority w:val="59"/>
    <w:rsid w:val="005F5711"/>
    <w:pPr>
      <w:numPr>
        <w:ilvl w:val="5"/>
        <w:numId w:val="2"/>
      </w:numPr>
      <w:tabs>
        <w:tab w:val="clear" w:pos="3600"/>
        <w:tab w:val="num" w:pos="360"/>
      </w:tabs>
      <w:ind w:left="0" w:firstLine="0"/>
    </w:pPr>
  </w:style>
  <w:style w:type="paragraph" w:customStyle="1" w:styleId="BBSchedule7">
    <w:name w:val="B&amp;B Schedule 7"/>
    <w:basedOn w:val="BodyText"/>
    <w:uiPriority w:val="59"/>
    <w:rsid w:val="005F5711"/>
    <w:pPr>
      <w:numPr>
        <w:ilvl w:val="6"/>
        <w:numId w:val="2"/>
      </w:numPr>
      <w:tabs>
        <w:tab w:val="clear" w:pos="4321"/>
        <w:tab w:val="num" w:pos="360"/>
      </w:tabs>
      <w:ind w:left="0" w:firstLine="0"/>
    </w:pPr>
  </w:style>
  <w:style w:type="paragraph" w:customStyle="1" w:styleId="BBSchedule8">
    <w:name w:val="B&amp;B Schedule 8"/>
    <w:basedOn w:val="BodyText"/>
    <w:uiPriority w:val="59"/>
    <w:rsid w:val="005F5711"/>
    <w:pPr>
      <w:numPr>
        <w:ilvl w:val="7"/>
        <w:numId w:val="2"/>
      </w:numPr>
      <w:tabs>
        <w:tab w:val="clear" w:pos="5041"/>
        <w:tab w:val="num" w:pos="360"/>
      </w:tabs>
      <w:ind w:left="0" w:firstLine="0"/>
    </w:pPr>
  </w:style>
  <w:style w:type="paragraph" w:customStyle="1" w:styleId="BBSchedule9">
    <w:name w:val="B&amp;B Schedule 9"/>
    <w:basedOn w:val="BodyText"/>
    <w:uiPriority w:val="59"/>
    <w:rsid w:val="005F5711"/>
    <w:pPr>
      <w:numPr>
        <w:ilvl w:val="8"/>
        <w:numId w:val="2"/>
      </w:numPr>
      <w:tabs>
        <w:tab w:val="clear" w:pos="5761"/>
        <w:tab w:val="num" w:pos="360"/>
      </w:tabs>
      <w:ind w:left="0" w:firstLine="0"/>
    </w:pPr>
  </w:style>
  <w:style w:type="table" w:styleId="TableGrid">
    <w:name w:val="Table Grid"/>
    <w:basedOn w:val="TableNormal"/>
    <w:rsid w:val="005F5711"/>
    <w:pPr>
      <w:spacing w:after="0" w:line="240" w:lineRule="auto"/>
    </w:pPr>
    <w:rPr>
      <w:rFonts w:asciiTheme="majorHAnsi" w:hAnsiTheme="majorHAnsi"/>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ingMain">
    <w:name w:val="Numbering Main"/>
    <w:uiPriority w:val="99"/>
    <w:rsid w:val="005F5711"/>
    <w:pPr>
      <w:numPr>
        <w:numId w:val="1"/>
      </w:numPr>
    </w:pPr>
  </w:style>
  <w:style w:type="numbering" w:customStyle="1" w:styleId="NumberingSchedules">
    <w:name w:val="Numbering Schedules"/>
    <w:uiPriority w:val="99"/>
    <w:rsid w:val="005F5711"/>
    <w:pPr>
      <w:numPr>
        <w:numId w:val="2"/>
      </w:numPr>
    </w:pPr>
  </w:style>
  <w:style w:type="paragraph" w:customStyle="1" w:styleId="Body">
    <w:name w:val="Body"/>
    <w:basedOn w:val="Normal"/>
    <w:qFormat/>
    <w:rsid w:val="004F3361"/>
    <w:pPr>
      <w:numPr>
        <w:numId w:val="13"/>
      </w:numPr>
      <w:tabs>
        <w:tab w:val="left" w:pos="1843"/>
        <w:tab w:val="left" w:pos="3119"/>
        <w:tab w:val="left" w:pos="4253"/>
      </w:tabs>
      <w:jc w:val="both"/>
    </w:pPr>
    <w:rPr>
      <w:rFonts w:ascii="Verdana" w:eastAsia="Times New Roman" w:hAnsi="Verdana" w:cs="Times New Roman"/>
      <w:sz w:val="18"/>
      <w:szCs w:val="18"/>
      <w:lang w:eastAsia="zh-CN"/>
    </w:rPr>
  </w:style>
  <w:style w:type="paragraph" w:customStyle="1" w:styleId="aDefinition">
    <w:name w:val="(a) Definition"/>
    <w:basedOn w:val="Body"/>
    <w:qFormat/>
    <w:rsid w:val="004F3361"/>
    <w:pPr>
      <w:numPr>
        <w:ilvl w:val="1"/>
      </w:numPr>
      <w:tabs>
        <w:tab w:val="clear" w:pos="1843"/>
        <w:tab w:val="clear" w:pos="3119"/>
        <w:tab w:val="clear" w:pos="4253"/>
      </w:tabs>
    </w:pPr>
  </w:style>
  <w:style w:type="paragraph" w:customStyle="1" w:styleId="iDefinition">
    <w:name w:val="(i) Definition"/>
    <w:basedOn w:val="Body"/>
    <w:qFormat/>
    <w:rsid w:val="004F3361"/>
    <w:pPr>
      <w:numPr>
        <w:ilvl w:val="2"/>
      </w:numPr>
      <w:tabs>
        <w:tab w:val="clear" w:pos="3119"/>
        <w:tab w:val="clear" w:pos="4253"/>
        <w:tab w:val="left" w:pos="1843"/>
      </w:tabs>
    </w:pPr>
  </w:style>
  <w:style w:type="paragraph" w:styleId="ListParagraph">
    <w:name w:val="List Paragraph"/>
    <w:basedOn w:val="Normal"/>
    <w:uiPriority w:val="34"/>
    <w:qFormat/>
    <w:rsid w:val="004F3361"/>
    <w:pPr>
      <w:spacing w:after="160" w:line="259" w:lineRule="auto"/>
      <w:ind w:left="720"/>
      <w:contextualSpacing/>
    </w:pPr>
    <w:rPr>
      <w:rFonts w:asciiTheme="minorHAnsi" w:hAnsiTheme="minorHAnsi"/>
      <w:szCs w:val="22"/>
    </w:rPr>
  </w:style>
  <w:style w:type="paragraph" w:styleId="Header">
    <w:name w:val="header"/>
    <w:basedOn w:val="Normal"/>
    <w:link w:val="HeaderChar"/>
    <w:uiPriority w:val="99"/>
    <w:unhideWhenUsed/>
    <w:rsid w:val="00CE32FE"/>
    <w:pPr>
      <w:tabs>
        <w:tab w:val="center" w:pos="4680"/>
        <w:tab w:val="right" w:pos="9360"/>
      </w:tabs>
      <w:spacing w:after="0"/>
    </w:pPr>
  </w:style>
  <w:style w:type="character" w:customStyle="1" w:styleId="HeaderChar">
    <w:name w:val="Header Char"/>
    <w:basedOn w:val="DefaultParagraphFont"/>
    <w:link w:val="Header"/>
    <w:uiPriority w:val="99"/>
    <w:rsid w:val="00CE32FE"/>
    <w:rPr>
      <w:rFonts w:ascii="Georgia" w:hAnsi="Georgia"/>
      <w:szCs w:val="20"/>
      <w:lang w:val="en-GB"/>
    </w:rPr>
  </w:style>
  <w:style w:type="paragraph" w:styleId="Footer">
    <w:name w:val="footer"/>
    <w:basedOn w:val="Normal"/>
    <w:link w:val="FooterChar"/>
    <w:uiPriority w:val="99"/>
    <w:unhideWhenUsed/>
    <w:rsid w:val="00CE32FE"/>
    <w:pPr>
      <w:tabs>
        <w:tab w:val="center" w:pos="4680"/>
        <w:tab w:val="right" w:pos="9360"/>
      </w:tabs>
      <w:spacing w:after="0"/>
    </w:pPr>
  </w:style>
  <w:style w:type="character" w:customStyle="1" w:styleId="FooterChar">
    <w:name w:val="Footer Char"/>
    <w:basedOn w:val="DefaultParagraphFont"/>
    <w:link w:val="Footer"/>
    <w:uiPriority w:val="99"/>
    <w:rsid w:val="00CE32FE"/>
    <w:rPr>
      <w:rFonts w:ascii="Georgia" w:hAnsi="Georgia"/>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06111">
      <w:bodyDiv w:val="1"/>
      <w:marLeft w:val="0"/>
      <w:marRight w:val="0"/>
      <w:marTop w:val="0"/>
      <w:marBottom w:val="0"/>
      <w:divBdr>
        <w:top w:val="none" w:sz="0" w:space="0" w:color="auto"/>
        <w:left w:val="none" w:sz="0" w:space="0" w:color="auto"/>
        <w:bottom w:val="none" w:sz="0" w:space="0" w:color="auto"/>
        <w:right w:val="none" w:sz="0" w:space="0" w:color="auto"/>
      </w:divBdr>
    </w:div>
    <w:div w:id="512841594">
      <w:bodyDiv w:val="1"/>
      <w:marLeft w:val="0"/>
      <w:marRight w:val="0"/>
      <w:marTop w:val="0"/>
      <w:marBottom w:val="0"/>
      <w:divBdr>
        <w:top w:val="none" w:sz="0" w:space="0" w:color="auto"/>
        <w:left w:val="none" w:sz="0" w:space="0" w:color="auto"/>
        <w:bottom w:val="none" w:sz="0" w:space="0" w:color="auto"/>
        <w:right w:val="none" w:sz="0" w:space="0" w:color="auto"/>
      </w:divBdr>
    </w:div>
    <w:div w:id="1048645870">
      <w:bodyDiv w:val="1"/>
      <w:marLeft w:val="0"/>
      <w:marRight w:val="0"/>
      <w:marTop w:val="0"/>
      <w:marBottom w:val="0"/>
      <w:divBdr>
        <w:top w:val="none" w:sz="0" w:space="0" w:color="auto"/>
        <w:left w:val="none" w:sz="0" w:space="0" w:color="auto"/>
        <w:bottom w:val="none" w:sz="0" w:space="0" w:color="auto"/>
        <w:right w:val="none" w:sz="0" w:space="0" w:color="auto"/>
      </w:divBdr>
    </w:div>
    <w:div w:id="1432974759">
      <w:bodyDiv w:val="1"/>
      <w:marLeft w:val="0"/>
      <w:marRight w:val="0"/>
      <w:marTop w:val="0"/>
      <w:marBottom w:val="0"/>
      <w:divBdr>
        <w:top w:val="none" w:sz="0" w:space="0" w:color="auto"/>
        <w:left w:val="none" w:sz="0" w:space="0" w:color="auto"/>
        <w:bottom w:val="none" w:sz="0" w:space="0" w:color="auto"/>
        <w:right w:val="none" w:sz="0" w:space="0" w:color="auto"/>
      </w:divBdr>
    </w:div>
    <w:div w:id="1657954639">
      <w:bodyDiv w:val="1"/>
      <w:marLeft w:val="0"/>
      <w:marRight w:val="0"/>
      <w:marTop w:val="0"/>
      <w:marBottom w:val="0"/>
      <w:divBdr>
        <w:top w:val="none" w:sz="0" w:space="0" w:color="auto"/>
        <w:left w:val="none" w:sz="0" w:space="0" w:color="auto"/>
        <w:bottom w:val="none" w:sz="0" w:space="0" w:color="auto"/>
        <w:right w:val="none" w:sz="0" w:space="0" w:color="auto"/>
      </w:divBdr>
    </w:div>
    <w:div w:id="168292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9D7A0-7720-4214-A600-34DA65F5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PPG Industries, Inc.</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Alwas-Siwik, Mateusz (WRC)</dc:creator>
  <cp:keywords/>
  <dc:description/>
  <cp:lastModifiedBy>Alwas-Siwik, Mateusz (WRC)</cp:lastModifiedBy>
  <cp:revision>4</cp:revision>
  <dcterms:created xsi:type="dcterms:W3CDTF">2022-11-14T13:26:00Z</dcterms:created>
  <dcterms:modified xsi:type="dcterms:W3CDTF">2023-11-17T10:27:00Z</dcterms:modified>
</cp:coreProperties>
</file>